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C3" w:rsidRPr="00D706BB" w:rsidRDefault="00C947F8" w:rsidP="00D706BB">
      <w:pPr>
        <w:pStyle w:val="a7"/>
        <w:spacing w:line="400" w:lineRule="exact"/>
        <w:ind w:leftChars="0" w:left="709"/>
        <w:jc w:val="center"/>
        <w:rPr>
          <w:rFonts w:ascii="Times New Roman" w:eastAsia="標楷體" w:hAnsi="標楷體" w:cs="Times New Roman"/>
          <w:b/>
          <w:sz w:val="36"/>
          <w:szCs w:val="36"/>
        </w:rPr>
      </w:pPr>
      <w:r w:rsidRPr="00D706BB">
        <w:rPr>
          <w:rFonts w:ascii="Times New Roman" w:eastAsia="標楷體" w:hAnsi="標楷體" w:cs="Times New Roman" w:hint="eastAsia"/>
          <w:b/>
          <w:sz w:val="36"/>
          <w:szCs w:val="36"/>
        </w:rPr>
        <w:t>對未納入合併報表之結構型個體之揭露指引</w:t>
      </w:r>
    </w:p>
    <w:p w:rsidR="00690213" w:rsidRPr="0025664C" w:rsidRDefault="00853DC3" w:rsidP="008B18FE">
      <w:pPr>
        <w:pStyle w:val="a7"/>
        <w:numPr>
          <w:ilvl w:val="0"/>
          <w:numId w:val="1"/>
        </w:numPr>
        <w:ind w:leftChars="0" w:left="709" w:hanging="709"/>
        <w:rPr>
          <w:rFonts w:ascii="Times New Roman" w:eastAsia="標楷體" w:hAnsi="Times New Roman" w:cs="Times New Roman"/>
          <w:b/>
          <w:sz w:val="32"/>
          <w:szCs w:val="32"/>
        </w:rPr>
      </w:pPr>
      <w:r w:rsidRPr="0025664C">
        <w:rPr>
          <w:rFonts w:ascii="Times New Roman" w:eastAsia="標楷體" w:hAnsi="標楷體" w:cs="Times New Roman"/>
          <w:b/>
          <w:sz w:val="32"/>
          <w:szCs w:val="32"/>
        </w:rPr>
        <w:t>前言</w:t>
      </w:r>
    </w:p>
    <w:p w:rsidR="002379DD" w:rsidRDefault="007159C9" w:rsidP="00217323">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2013</w:t>
      </w:r>
      <w:r>
        <w:rPr>
          <w:rFonts w:ascii="Times New Roman" w:eastAsia="標楷體" w:hAnsi="Times New Roman" w:cs="Times New Roman" w:hint="eastAsia"/>
          <w:sz w:val="32"/>
          <w:szCs w:val="32"/>
        </w:rPr>
        <w:t>年版</w:t>
      </w:r>
      <w:r w:rsidR="00C947F8" w:rsidRPr="00C947F8">
        <w:rPr>
          <w:rFonts w:ascii="Times New Roman" w:eastAsia="標楷體" w:hAnsi="Times New Roman" w:cs="Times New Roman"/>
          <w:sz w:val="32"/>
          <w:szCs w:val="32"/>
        </w:rPr>
        <w:t>IFRS 12</w:t>
      </w:r>
      <w:r w:rsidR="00C947F8" w:rsidRPr="00C947F8">
        <w:rPr>
          <w:rFonts w:ascii="Times New Roman" w:eastAsia="標楷體" w:hAnsi="Times New Roman" w:cs="Times New Roman"/>
          <w:sz w:val="32"/>
          <w:szCs w:val="32"/>
        </w:rPr>
        <w:t>「對其他個體之權益之揭露」</w:t>
      </w:r>
      <w:r w:rsidR="0031721D">
        <w:rPr>
          <w:rFonts w:ascii="Times New Roman" w:eastAsia="標楷體" w:hAnsi="Times New Roman" w:cs="Times New Roman" w:hint="eastAsia"/>
          <w:sz w:val="32"/>
          <w:szCs w:val="32"/>
        </w:rPr>
        <w:t>（以下稱</w:t>
      </w:r>
      <w:r w:rsidR="0031721D">
        <w:rPr>
          <w:rFonts w:ascii="Times New Roman" w:eastAsia="標楷體" w:hAnsi="Times New Roman" w:cs="Times New Roman" w:hint="eastAsia"/>
          <w:sz w:val="32"/>
          <w:szCs w:val="32"/>
        </w:rPr>
        <w:t>IFRS 12</w:t>
      </w:r>
      <w:r w:rsidR="0031721D">
        <w:rPr>
          <w:rFonts w:ascii="Times New Roman" w:eastAsia="標楷體" w:hAnsi="Times New Roman" w:cs="Times New Roman" w:hint="eastAsia"/>
          <w:sz w:val="32"/>
          <w:szCs w:val="32"/>
        </w:rPr>
        <w:t>）</w:t>
      </w:r>
      <w:r w:rsidR="00397426">
        <w:rPr>
          <w:rFonts w:ascii="Times New Roman" w:eastAsia="標楷體" w:hAnsi="Times New Roman" w:cs="Times New Roman" w:hint="eastAsia"/>
          <w:sz w:val="32"/>
          <w:szCs w:val="32"/>
        </w:rPr>
        <w:t>第</w:t>
      </w:r>
      <w:r w:rsidR="00397426" w:rsidRPr="00397426">
        <w:rPr>
          <w:rFonts w:ascii="Times New Roman" w:eastAsia="標楷體" w:hAnsi="Times New Roman" w:cs="Times New Roman"/>
          <w:sz w:val="32"/>
          <w:szCs w:val="32"/>
        </w:rPr>
        <w:t>B21</w:t>
      </w:r>
      <w:r w:rsidR="00397426" w:rsidRPr="00397426">
        <w:rPr>
          <w:rFonts w:ascii="Times New Roman" w:eastAsia="標楷體" w:hAnsi="Times New Roman" w:cs="Times New Roman"/>
          <w:sz w:val="32"/>
          <w:szCs w:val="32"/>
        </w:rPr>
        <w:t>段</w:t>
      </w:r>
      <w:r w:rsidR="002B1404" w:rsidRPr="00DC38C7">
        <w:rPr>
          <w:rFonts w:ascii="Times New Roman" w:eastAsia="標楷體" w:hAnsi="Times New Roman" w:cs="Times New Roman"/>
          <w:sz w:val="32"/>
          <w:szCs w:val="32"/>
        </w:rPr>
        <w:t>規定，</w:t>
      </w:r>
      <w:r w:rsidR="0031721D" w:rsidRPr="00C947F8">
        <w:rPr>
          <w:rFonts w:ascii="Times New Roman" w:eastAsia="標楷體" w:hAnsi="Times New Roman" w:cs="Times New Roman"/>
          <w:sz w:val="32"/>
          <w:szCs w:val="32"/>
        </w:rPr>
        <w:t>結構型個體為一</w:t>
      </w:r>
      <w:r w:rsidR="0031721D" w:rsidRPr="00C947F8">
        <w:rPr>
          <w:rFonts w:ascii="Times New Roman" w:eastAsia="標楷體" w:hAnsi="Times New Roman" w:cs="Times New Roman"/>
          <w:sz w:val="32"/>
          <w:szCs w:val="32"/>
          <w:u w:val="single"/>
        </w:rPr>
        <w:t>經過設計之個體，而使表決權或類似權利並非決定誰控制該個體之支配因素</w:t>
      </w:r>
      <w:r w:rsidR="0031721D" w:rsidRPr="00C947F8">
        <w:rPr>
          <w:rFonts w:ascii="Times New Roman" w:eastAsia="標楷體" w:hAnsi="Times New Roman" w:cs="Times New Roman"/>
          <w:sz w:val="32"/>
          <w:szCs w:val="32"/>
        </w:rPr>
        <w:t>。例如當所有表決權僅與行政事務有關，而</w:t>
      </w:r>
      <w:proofErr w:type="gramStart"/>
      <w:r w:rsidR="0031721D" w:rsidRPr="00C947F8">
        <w:rPr>
          <w:rFonts w:ascii="Times New Roman" w:eastAsia="標楷體" w:hAnsi="Times New Roman" w:cs="Times New Roman"/>
          <w:sz w:val="32"/>
          <w:szCs w:val="32"/>
        </w:rPr>
        <w:t>攸</w:t>
      </w:r>
      <w:proofErr w:type="gramEnd"/>
      <w:r w:rsidR="0031721D" w:rsidRPr="00C947F8">
        <w:rPr>
          <w:rFonts w:ascii="Times New Roman" w:eastAsia="標楷體" w:hAnsi="Times New Roman" w:cs="Times New Roman"/>
          <w:sz w:val="32"/>
          <w:szCs w:val="32"/>
        </w:rPr>
        <w:t>關活動係以合約性協議之方式主導。如：證券化載具、資產擔保之籌資與</w:t>
      </w:r>
      <w:r w:rsidR="00217323">
        <w:rPr>
          <w:rFonts w:ascii="Times New Roman" w:eastAsia="標楷體" w:hAnsi="Times New Roman" w:cs="Times New Roman" w:hint="eastAsia"/>
          <w:sz w:val="32"/>
          <w:szCs w:val="32"/>
        </w:rPr>
        <w:t>某些</w:t>
      </w:r>
      <w:r w:rsidR="0031721D" w:rsidRPr="00C947F8">
        <w:rPr>
          <w:rFonts w:ascii="Times New Roman" w:eastAsia="標楷體" w:hAnsi="Times New Roman" w:cs="Times New Roman"/>
          <w:sz w:val="32"/>
          <w:szCs w:val="32"/>
        </w:rPr>
        <w:t>投資基金等。</w:t>
      </w:r>
    </w:p>
    <w:p w:rsidR="002379DD" w:rsidRDefault="0031721D" w:rsidP="002379DD">
      <w:pPr>
        <w:pStyle w:val="a7"/>
        <w:spacing w:before="100" w:beforeAutospacing="1" w:after="100" w:afterAutospacing="1" w:line="400" w:lineRule="exact"/>
        <w:ind w:leftChars="0" w:left="1068"/>
        <w:rPr>
          <w:rFonts w:ascii="Times New Roman" w:eastAsia="標楷體" w:hAnsi="Times New Roman" w:cs="Times New Roman"/>
          <w:sz w:val="32"/>
          <w:szCs w:val="32"/>
        </w:rPr>
      </w:pPr>
      <w:r w:rsidRPr="00217323">
        <w:rPr>
          <w:rFonts w:ascii="Times New Roman" w:eastAsia="標楷體" w:hAnsi="Times New Roman" w:cs="Times New Roman" w:hint="eastAsia"/>
          <w:sz w:val="32"/>
          <w:szCs w:val="32"/>
        </w:rPr>
        <w:t>第</w:t>
      </w:r>
      <w:r w:rsidR="002379DD">
        <w:rPr>
          <w:rFonts w:ascii="Times New Roman" w:eastAsia="標楷體" w:hAnsi="Times New Roman" w:cs="Times New Roman" w:hint="eastAsia"/>
          <w:sz w:val="32"/>
          <w:szCs w:val="32"/>
        </w:rPr>
        <w:t>24</w:t>
      </w:r>
      <w:r w:rsidRPr="00217323">
        <w:rPr>
          <w:rFonts w:ascii="Times New Roman" w:eastAsia="標楷體" w:hAnsi="Times New Roman" w:cs="Times New Roman" w:hint="eastAsia"/>
          <w:sz w:val="32"/>
          <w:szCs w:val="32"/>
        </w:rPr>
        <w:t>段規定，</w:t>
      </w:r>
      <w:r w:rsidRPr="00217323">
        <w:rPr>
          <w:rFonts w:ascii="Times New Roman" w:eastAsia="標楷體" w:hAnsi="Times New Roman" w:cs="Times New Roman"/>
          <w:sz w:val="32"/>
          <w:szCs w:val="32"/>
        </w:rPr>
        <w:t>企業應揭露</w:t>
      </w:r>
    </w:p>
    <w:p w:rsidR="00C947F8" w:rsidRPr="00CA54C0" w:rsidRDefault="00CA54C0" w:rsidP="00CA54C0">
      <w:pPr>
        <w:pStyle w:val="a7"/>
        <w:numPr>
          <w:ilvl w:val="0"/>
          <w:numId w:val="20"/>
        </w:numPr>
        <w:spacing w:before="100" w:beforeAutospacing="1" w:after="100" w:afterAutospacing="1" w:line="400" w:lineRule="exact"/>
        <w:ind w:leftChars="0" w:left="1560" w:hanging="492"/>
        <w:rPr>
          <w:rFonts w:ascii="Times New Roman" w:eastAsia="標楷體" w:hAnsi="Times New Roman" w:cs="Times New Roman"/>
          <w:sz w:val="32"/>
          <w:szCs w:val="32"/>
        </w:rPr>
      </w:pPr>
      <w:r w:rsidRPr="00CA54C0">
        <w:rPr>
          <w:rFonts w:ascii="Times New Roman" w:eastAsia="標楷體" w:hAnsi="Times New Roman" w:cs="Times New Roman" w:hint="eastAsia"/>
          <w:sz w:val="32"/>
          <w:szCs w:val="32"/>
        </w:rPr>
        <w:t>了解企業對未納入合併報表之結構型個體之權益之性質與範圍（第</w:t>
      </w:r>
      <w:r>
        <w:rPr>
          <w:rFonts w:ascii="Times New Roman" w:eastAsia="標楷體" w:hAnsi="Times New Roman" w:cs="Times New Roman"/>
          <w:sz w:val="32"/>
          <w:szCs w:val="32"/>
        </w:rPr>
        <w:t>26</w:t>
      </w:r>
      <w:r w:rsidRPr="00CA54C0">
        <w:rPr>
          <w:rFonts w:ascii="Times New Roman" w:eastAsia="標楷體" w:hAnsi="Times New Roman" w:cs="Times New Roman" w:hint="eastAsia"/>
          <w:sz w:val="32"/>
          <w:szCs w:val="32"/>
        </w:rPr>
        <w:t>至</w:t>
      </w:r>
      <w:r w:rsidRPr="00CA54C0">
        <w:rPr>
          <w:rFonts w:ascii="Times New Roman" w:eastAsia="標楷體" w:hAnsi="Times New Roman" w:cs="Times New Roman"/>
          <w:sz w:val="32"/>
          <w:szCs w:val="32"/>
        </w:rPr>
        <w:t>28</w:t>
      </w:r>
      <w:r w:rsidRPr="00CA54C0">
        <w:rPr>
          <w:rFonts w:ascii="Times New Roman" w:eastAsia="標楷體" w:hAnsi="Times New Roman" w:cs="Times New Roman" w:hint="eastAsia"/>
          <w:sz w:val="32"/>
          <w:szCs w:val="32"/>
        </w:rPr>
        <w:t>段）；及</w:t>
      </w:r>
    </w:p>
    <w:p w:rsidR="00CA54C0" w:rsidRPr="00CA54C0" w:rsidRDefault="00CA54C0" w:rsidP="00CA54C0">
      <w:pPr>
        <w:pStyle w:val="a7"/>
        <w:numPr>
          <w:ilvl w:val="0"/>
          <w:numId w:val="20"/>
        </w:numPr>
        <w:spacing w:before="100" w:beforeAutospacing="1" w:after="100" w:afterAutospacing="1" w:line="400" w:lineRule="exact"/>
        <w:ind w:leftChars="0" w:left="1560" w:hanging="492"/>
        <w:rPr>
          <w:rFonts w:ascii="Times New Roman" w:eastAsia="標楷體" w:hAnsi="Times New Roman" w:cs="Times New Roman"/>
          <w:sz w:val="32"/>
          <w:szCs w:val="32"/>
        </w:rPr>
      </w:pPr>
      <w:r w:rsidRPr="00CA54C0">
        <w:rPr>
          <w:rFonts w:ascii="Times New Roman" w:eastAsia="標楷體" w:hAnsi="Times New Roman" w:cs="Times New Roman" w:hint="eastAsia"/>
          <w:sz w:val="32"/>
          <w:szCs w:val="32"/>
        </w:rPr>
        <w:t>評估與企業對未納入合併報表之結構型個體之權益相關之風險之性質及變動（第</w:t>
      </w:r>
      <w:r>
        <w:rPr>
          <w:rFonts w:ascii="Times New Roman" w:eastAsia="標楷體" w:hAnsi="Times New Roman" w:cs="Times New Roman"/>
          <w:sz w:val="32"/>
          <w:szCs w:val="32"/>
        </w:rPr>
        <w:t>29</w:t>
      </w:r>
      <w:r w:rsidRPr="00CA54C0">
        <w:rPr>
          <w:rFonts w:ascii="Times New Roman" w:eastAsia="標楷體" w:hAnsi="Times New Roman" w:cs="Times New Roman" w:hint="eastAsia"/>
          <w:sz w:val="32"/>
          <w:szCs w:val="32"/>
        </w:rPr>
        <w:t>至</w:t>
      </w:r>
      <w:r>
        <w:rPr>
          <w:rFonts w:ascii="Times New Roman" w:eastAsia="標楷體" w:hAnsi="Times New Roman" w:cs="Times New Roman"/>
          <w:sz w:val="32"/>
          <w:szCs w:val="32"/>
        </w:rPr>
        <w:t>31</w:t>
      </w:r>
      <w:r w:rsidRPr="00CA54C0">
        <w:rPr>
          <w:rFonts w:ascii="Times New Roman" w:eastAsia="標楷體" w:hAnsi="Times New Roman" w:cs="Times New Roman" w:hint="eastAsia"/>
          <w:sz w:val="32"/>
          <w:szCs w:val="32"/>
        </w:rPr>
        <w:t>段）。</w:t>
      </w:r>
    </w:p>
    <w:p w:rsidR="00203622" w:rsidRPr="008F4277" w:rsidRDefault="00276057" w:rsidP="0031721D">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指引內容</w:t>
      </w:r>
      <w:hyperlink w:anchor="揭露釋例一" w:history="1">
        <w:r w:rsidR="00203622" w:rsidRPr="00203622">
          <w:rPr>
            <w:rFonts w:ascii="標楷體" w:eastAsia="標楷體" w:hAnsi="標楷體"/>
            <w:color w:val="0000FF"/>
            <w:sz w:val="32"/>
            <w:szCs w:val="32"/>
            <w:u w:val="single"/>
          </w:rPr>
          <w:t>釋例</w:t>
        </w:r>
        <w:proofErr w:type="gramStart"/>
        <w:r w:rsidR="00203622" w:rsidRPr="00203622">
          <w:rPr>
            <w:rFonts w:ascii="標楷體" w:eastAsia="標楷體" w:hAnsi="標楷體"/>
            <w:color w:val="0000FF"/>
            <w:sz w:val="32"/>
            <w:szCs w:val="32"/>
            <w:u w:val="single"/>
          </w:rPr>
          <w:t>一</w:t>
        </w:r>
        <w:proofErr w:type="gramEnd"/>
      </w:hyperlink>
      <w:r w:rsidR="00203622" w:rsidRPr="00203622">
        <w:rPr>
          <w:rFonts w:ascii="Times New Roman" w:eastAsia="標楷體" w:hAnsi="Times New Roman"/>
          <w:spacing w:val="20"/>
          <w:sz w:val="32"/>
          <w:szCs w:val="32"/>
        </w:rPr>
        <w:t>係</w:t>
      </w:r>
      <w:proofErr w:type="gramStart"/>
      <w:r w:rsidR="00203622" w:rsidRPr="00203622">
        <w:rPr>
          <w:rFonts w:ascii="Times New Roman" w:eastAsia="標楷體" w:hAnsi="Times New Roman"/>
          <w:spacing w:val="20"/>
          <w:sz w:val="32"/>
          <w:szCs w:val="32"/>
        </w:rPr>
        <w:t>例舉</w:t>
      </w:r>
      <w:proofErr w:type="gramEnd"/>
      <w:r w:rsidR="00203622" w:rsidRPr="00203622">
        <w:rPr>
          <w:rFonts w:ascii="Times New Roman" w:eastAsia="標楷體" w:hAnsi="Times New Roman"/>
          <w:spacing w:val="20"/>
          <w:sz w:val="32"/>
          <w:szCs w:val="32"/>
        </w:rPr>
        <w:t>一般行業參與未納入合併財務報告之結構型個體之</w:t>
      </w:r>
      <w:proofErr w:type="gramStart"/>
      <w:r w:rsidR="00203622" w:rsidRPr="00203622">
        <w:rPr>
          <w:rFonts w:ascii="Times New Roman" w:eastAsia="標楷體" w:hAnsi="Times New Roman"/>
          <w:spacing w:val="20"/>
          <w:sz w:val="32"/>
          <w:szCs w:val="32"/>
        </w:rPr>
        <w:t>揭露釋例</w:t>
      </w:r>
      <w:proofErr w:type="gramEnd"/>
      <w:r w:rsidR="00203622" w:rsidRPr="00203622">
        <w:rPr>
          <w:rFonts w:ascii="Times New Roman" w:eastAsia="標楷體" w:hAnsi="Times New Roman"/>
          <w:spacing w:val="20"/>
          <w:sz w:val="32"/>
          <w:szCs w:val="32"/>
        </w:rPr>
        <w:t>。</w:t>
      </w:r>
      <w:hyperlink w:anchor="揭露釋例二" w:history="1">
        <w:proofErr w:type="gramStart"/>
        <w:r w:rsidR="00203622" w:rsidRPr="00203622">
          <w:rPr>
            <w:rFonts w:ascii="標楷體" w:eastAsia="標楷體" w:hAnsi="標楷體"/>
            <w:color w:val="0000FF"/>
            <w:sz w:val="32"/>
            <w:szCs w:val="32"/>
            <w:u w:val="single"/>
          </w:rPr>
          <w:t>釋例</w:t>
        </w:r>
        <w:proofErr w:type="gramEnd"/>
        <w:r w:rsidR="00203622" w:rsidRPr="00203622">
          <w:rPr>
            <w:rFonts w:ascii="標楷體" w:eastAsia="標楷體" w:hAnsi="標楷體"/>
            <w:color w:val="0000FF"/>
            <w:sz w:val="32"/>
            <w:szCs w:val="32"/>
            <w:u w:val="single"/>
          </w:rPr>
          <w:t>二</w:t>
        </w:r>
      </w:hyperlink>
      <w:r w:rsidR="00203622" w:rsidRPr="00203622">
        <w:rPr>
          <w:rFonts w:ascii="Times New Roman" w:eastAsia="標楷體" w:hAnsi="Times New Roman"/>
          <w:spacing w:val="20"/>
          <w:sz w:val="32"/>
          <w:szCs w:val="32"/>
        </w:rPr>
        <w:t>係</w:t>
      </w:r>
      <w:proofErr w:type="gramStart"/>
      <w:r w:rsidR="00203622" w:rsidRPr="00203622">
        <w:rPr>
          <w:rFonts w:ascii="Times New Roman" w:eastAsia="標楷體" w:hAnsi="Times New Roman"/>
          <w:spacing w:val="20"/>
          <w:sz w:val="32"/>
          <w:szCs w:val="32"/>
        </w:rPr>
        <w:t>例舉</w:t>
      </w:r>
      <w:proofErr w:type="gramEnd"/>
      <w:r w:rsidR="002A44C1" w:rsidRPr="009C74EF">
        <w:rPr>
          <w:rFonts w:ascii="Times New Roman" w:eastAsia="標楷體" w:hAnsi="Times New Roman" w:hint="eastAsia"/>
          <w:spacing w:val="20"/>
          <w:sz w:val="32"/>
          <w:szCs w:val="32"/>
        </w:rPr>
        <w:t>金融</w:t>
      </w:r>
      <w:r w:rsidR="00203622" w:rsidRPr="009C74EF">
        <w:rPr>
          <w:rFonts w:ascii="Times New Roman" w:eastAsia="標楷體" w:hAnsi="Times New Roman"/>
          <w:spacing w:val="20"/>
          <w:sz w:val="32"/>
          <w:szCs w:val="32"/>
        </w:rPr>
        <w:t>業</w:t>
      </w:r>
      <w:r w:rsidR="00203622" w:rsidRPr="00203622">
        <w:rPr>
          <w:rFonts w:ascii="Times New Roman" w:eastAsia="標楷體" w:hAnsi="Times New Roman"/>
          <w:spacing w:val="20"/>
          <w:sz w:val="32"/>
          <w:szCs w:val="32"/>
        </w:rPr>
        <w:t>之</w:t>
      </w:r>
      <w:proofErr w:type="gramStart"/>
      <w:r w:rsidR="00203622" w:rsidRPr="00203622">
        <w:rPr>
          <w:rFonts w:ascii="Times New Roman" w:eastAsia="標楷體" w:hAnsi="Times New Roman"/>
          <w:spacing w:val="20"/>
          <w:sz w:val="32"/>
          <w:szCs w:val="32"/>
        </w:rPr>
        <w:t>揭露釋例</w:t>
      </w:r>
      <w:proofErr w:type="gramEnd"/>
      <w:r w:rsidR="00203622" w:rsidRPr="00203622">
        <w:rPr>
          <w:rFonts w:ascii="Times New Roman" w:eastAsia="標楷體" w:hAnsi="Times New Roman"/>
          <w:spacing w:val="20"/>
          <w:sz w:val="32"/>
          <w:szCs w:val="32"/>
        </w:rPr>
        <w:t>。未納入合併報告之結構型個體相關揭露資訊之程度</w:t>
      </w:r>
      <w:r w:rsidR="00203622" w:rsidRPr="00276057">
        <w:rPr>
          <w:rFonts w:ascii="Times New Roman" w:eastAsia="標楷體" w:hAnsi="Times New Roman"/>
          <w:spacing w:val="20"/>
          <w:sz w:val="32"/>
          <w:szCs w:val="32"/>
          <w:u w:val="single"/>
        </w:rPr>
        <w:t>將視個案之事實及情況而定</w:t>
      </w:r>
      <w:r w:rsidR="00203622" w:rsidRPr="00203622">
        <w:rPr>
          <w:rFonts w:ascii="Times New Roman" w:eastAsia="標楷體" w:hAnsi="Times New Roman"/>
          <w:spacing w:val="20"/>
          <w:sz w:val="32"/>
          <w:szCs w:val="32"/>
        </w:rPr>
        <w:t>，</w:t>
      </w:r>
      <w:r w:rsidR="00203622" w:rsidRPr="00203622">
        <w:rPr>
          <w:rFonts w:ascii="Times New Roman" w:eastAsia="標楷體" w:hAnsi="Times New Roman" w:hint="eastAsia"/>
          <w:spacing w:val="20"/>
          <w:sz w:val="32"/>
          <w:szCs w:val="32"/>
        </w:rPr>
        <w:t>惟</w:t>
      </w:r>
      <w:r w:rsidR="00203622" w:rsidRPr="00203622">
        <w:rPr>
          <w:rFonts w:ascii="Times New Roman" w:eastAsia="標楷體" w:hAnsi="Times New Roman"/>
          <w:spacing w:val="20"/>
          <w:sz w:val="32"/>
          <w:szCs w:val="32"/>
        </w:rPr>
        <w:t>銀行或其他金融機構之揭露可能較為複雜。</w:t>
      </w:r>
    </w:p>
    <w:p w:rsidR="00203622" w:rsidRPr="00203622" w:rsidRDefault="00203622" w:rsidP="00203622">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本</w:t>
      </w:r>
      <w:proofErr w:type="gramStart"/>
      <w:r>
        <w:rPr>
          <w:rFonts w:ascii="Times New Roman" w:eastAsia="標楷體" w:hAnsi="Times New Roman" w:cs="Times New Roman" w:hint="eastAsia"/>
          <w:sz w:val="32"/>
          <w:szCs w:val="32"/>
        </w:rPr>
        <w:t>揭露釋例</w:t>
      </w:r>
      <w:r w:rsidRPr="00203622">
        <w:rPr>
          <w:rFonts w:ascii="Times New Roman" w:eastAsia="標楷體" w:hAnsi="Times New Roman" w:cs="Times New Roman" w:hint="eastAsia"/>
          <w:sz w:val="32"/>
          <w:szCs w:val="32"/>
        </w:rPr>
        <w:t>僅</w:t>
      </w:r>
      <w:r w:rsidR="00371E3B" w:rsidRPr="00371E3B">
        <w:rPr>
          <w:rFonts w:ascii="Times New Roman" w:eastAsia="標楷體" w:hAnsi="Times New Roman" w:cs="Times New Roman" w:hint="eastAsia"/>
          <w:sz w:val="32"/>
          <w:szCs w:val="32"/>
        </w:rPr>
        <w:t>例舉</w:t>
      </w:r>
      <w:proofErr w:type="gramEnd"/>
      <w:r w:rsidR="00371E3B" w:rsidRPr="00371E3B">
        <w:rPr>
          <w:rFonts w:ascii="Times New Roman" w:eastAsia="標楷體" w:hAnsi="Times New Roman" w:cs="Times New Roman" w:hint="eastAsia"/>
          <w:sz w:val="32"/>
          <w:szCs w:val="32"/>
        </w:rPr>
        <w:t>部分個案情況，可能未涵</w:t>
      </w:r>
      <w:proofErr w:type="gramStart"/>
      <w:r w:rsidR="00371E3B" w:rsidRPr="00371E3B">
        <w:rPr>
          <w:rFonts w:ascii="Times New Roman" w:eastAsia="標楷體" w:hAnsi="Times New Roman" w:cs="Times New Roman" w:hint="eastAsia"/>
          <w:sz w:val="32"/>
          <w:szCs w:val="32"/>
        </w:rPr>
        <w:t>括</w:t>
      </w:r>
      <w:proofErr w:type="gramEnd"/>
      <w:r w:rsidR="00371E3B" w:rsidRPr="00371E3B">
        <w:rPr>
          <w:rFonts w:ascii="Times New Roman" w:eastAsia="標楷體" w:hAnsi="Times New Roman" w:cs="Times New Roman" w:hint="eastAsia"/>
          <w:sz w:val="32"/>
          <w:szCs w:val="32"/>
        </w:rPr>
        <w:t>IFRS 12</w:t>
      </w:r>
      <w:r w:rsidR="00371E3B" w:rsidRPr="00371E3B">
        <w:rPr>
          <w:rFonts w:ascii="Times New Roman" w:eastAsia="標楷體" w:hAnsi="Times New Roman" w:cs="Times New Roman" w:hint="eastAsia"/>
          <w:sz w:val="32"/>
          <w:szCs w:val="32"/>
        </w:rPr>
        <w:t>所要求之所有揭露項目</w:t>
      </w:r>
      <w:r w:rsidRPr="00203622">
        <w:rPr>
          <w:rFonts w:ascii="Times New Roman" w:eastAsia="標楷體" w:hAnsi="Times New Roman" w:cs="Times New Roman" w:hint="eastAsia"/>
          <w:sz w:val="32"/>
          <w:szCs w:val="32"/>
        </w:rPr>
        <w:t>，</w:t>
      </w:r>
      <w:r w:rsidR="00371E3B">
        <w:rPr>
          <w:rFonts w:ascii="Times New Roman" w:eastAsia="標楷體" w:hAnsi="Times New Roman" w:cs="Times New Roman" w:hint="eastAsia"/>
          <w:sz w:val="32"/>
          <w:szCs w:val="32"/>
        </w:rPr>
        <w:t>亦</w:t>
      </w:r>
      <w:r w:rsidRPr="00203622">
        <w:rPr>
          <w:rFonts w:ascii="Times New Roman" w:eastAsia="標楷體" w:hAnsi="Times New Roman" w:cs="Times New Roman" w:hint="eastAsia"/>
          <w:sz w:val="32"/>
          <w:szCs w:val="32"/>
        </w:rPr>
        <w:t>未納入</w:t>
      </w:r>
      <w:r w:rsidRPr="00203622">
        <w:rPr>
          <w:rFonts w:ascii="Times New Roman" w:eastAsia="標楷體" w:hAnsi="Times New Roman" w:cs="Times New Roman" w:hint="eastAsia"/>
          <w:sz w:val="32"/>
          <w:szCs w:val="32"/>
        </w:rPr>
        <w:t>IFRS 7</w:t>
      </w:r>
      <w:r w:rsidRPr="00203622">
        <w:rPr>
          <w:rFonts w:ascii="Times New Roman" w:eastAsia="標楷體" w:hAnsi="Times New Roman" w:cs="Times New Roman" w:hint="eastAsia"/>
          <w:sz w:val="32"/>
          <w:szCs w:val="32"/>
        </w:rPr>
        <w:t>「金融工具：揭露」</w:t>
      </w:r>
      <w:r w:rsidR="00371E3B">
        <w:rPr>
          <w:rFonts w:ascii="Times New Roman" w:eastAsia="標楷體" w:hAnsi="Times New Roman" w:cs="Times New Roman" w:hint="eastAsia"/>
          <w:sz w:val="32"/>
          <w:szCs w:val="32"/>
        </w:rPr>
        <w:t>（以下稱</w:t>
      </w:r>
      <w:r w:rsidR="00371E3B">
        <w:rPr>
          <w:rFonts w:ascii="Times New Roman" w:eastAsia="標楷體" w:hAnsi="Times New Roman" w:cs="Times New Roman" w:hint="eastAsia"/>
          <w:sz w:val="32"/>
          <w:szCs w:val="32"/>
        </w:rPr>
        <w:t>IFRS 7</w:t>
      </w:r>
      <w:r w:rsidR="00371E3B">
        <w:rPr>
          <w:rFonts w:ascii="Times New Roman" w:eastAsia="標楷體" w:hAnsi="Times New Roman" w:cs="Times New Roman" w:hint="eastAsia"/>
          <w:sz w:val="32"/>
          <w:szCs w:val="32"/>
        </w:rPr>
        <w:t>）</w:t>
      </w:r>
      <w:r w:rsidRPr="00203622">
        <w:rPr>
          <w:rFonts w:ascii="Times New Roman" w:eastAsia="標楷體" w:hAnsi="Times New Roman" w:cs="Times New Roman" w:hint="eastAsia"/>
          <w:sz w:val="32"/>
          <w:szCs w:val="32"/>
        </w:rPr>
        <w:t>所規定之額外揭露要求，故</w:t>
      </w:r>
      <w:r w:rsidR="00371E3B" w:rsidRPr="00371E3B">
        <w:rPr>
          <w:rFonts w:ascii="Times New Roman" w:eastAsia="標楷體" w:hAnsi="Times New Roman" w:cs="Times New Roman" w:hint="eastAsia"/>
          <w:sz w:val="32"/>
          <w:szCs w:val="32"/>
        </w:rPr>
        <w:t>企業仍應根據其個案情況依</w:t>
      </w:r>
      <w:r w:rsidR="00371E3B" w:rsidRPr="00371E3B">
        <w:rPr>
          <w:rFonts w:ascii="Times New Roman" w:eastAsia="標楷體" w:hAnsi="Times New Roman" w:cs="Times New Roman" w:hint="eastAsia"/>
          <w:sz w:val="32"/>
          <w:szCs w:val="32"/>
        </w:rPr>
        <w:t>IFRS 12</w:t>
      </w:r>
      <w:r w:rsidR="00371E3B" w:rsidRPr="00371E3B">
        <w:rPr>
          <w:rFonts w:ascii="Times New Roman" w:eastAsia="標楷體" w:hAnsi="Times New Roman" w:cs="Times New Roman" w:hint="eastAsia"/>
          <w:sz w:val="32"/>
          <w:szCs w:val="32"/>
        </w:rPr>
        <w:t>做完整揭露</w:t>
      </w:r>
      <w:r w:rsidR="00371E3B">
        <w:rPr>
          <w:rFonts w:ascii="Times New Roman" w:eastAsia="標楷體" w:hAnsi="Times New Roman" w:cs="Times New Roman" w:hint="eastAsia"/>
          <w:sz w:val="32"/>
          <w:szCs w:val="32"/>
        </w:rPr>
        <w:t>，且</w:t>
      </w:r>
      <w:r w:rsidRPr="00203622">
        <w:rPr>
          <w:rFonts w:ascii="Times New Roman" w:eastAsia="標楷體" w:hAnsi="Times New Roman" w:cs="Times New Roman" w:hint="eastAsia"/>
          <w:sz w:val="32"/>
          <w:szCs w:val="32"/>
        </w:rPr>
        <w:t>與金融工具相關之揭露尚應依</w:t>
      </w:r>
      <w:r w:rsidR="00371E3B">
        <w:rPr>
          <w:rFonts w:ascii="Times New Roman" w:eastAsia="標楷體" w:hAnsi="Times New Roman" w:cs="Times New Roman" w:hint="eastAsia"/>
          <w:sz w:val="32"/>
          <w:szCs w:val="32"/>
        </w:rPr>
        <w:t>IFRS 7</w:t>
      </w:r>
      <w:r w:rsidRPr="00203622">
        <w:rPr>
          <w:rFonts w:ascii="Times New Roman" w:eastAsia="標楷體" w:hAnsi="Times New Roman" w:cs="Times New Roman" w:hint="eastAsia"/>
          <w:sz w:val="32"/>
          <w:szCs w:val="32"/>
        </w:rPr>
        <w:t>之規定辦理。</w:t>
      </w:r>
    </w:p>
    <w:p w:rsidR="00690213" w:rsidRPr="0025664C" w:rsidRDefault="00853DC3" w:rsidP="002F10EF">
      <w:pPr>
        <w:pStyle w:val="a7"/>
        <w:numPr>
          <w:ilvl w:val="0"/>
          <w:numId w:val="1"/>
        </w:numPr>
        <w:ind w:leftChars="0" w:left="709" w:hanging="709"/>
        <w:rPr>
          <w:rFonts w:ascii="Times New Roman" w:eastAsia="標楷體" w:hAnsi="Times New Roman" w:cs="Times New Roman"/>
          <w:b/>
          <w:sz w:val="32"/>
          <w:szCs w:val="32"/>
        </w:rPr>
      </w:pPr>
      <w:r w:rsidRPr="0025664C">
        <w:rPr>
          <w:rFonts w:ascii="Times New Roman" w:eastAsia="標楷體" w:hAnsi="標楷體" w:cs="Times New Roman"/>
          <w:b/>
          <w:sz w:val="32"/>
          <w:szCs w:val="32"/>
        </w:rPr>
        <w:t>指引內容</w:t>
      </w:r>
    </w:p>
    <w:p w:rsidR="00EB54E4" w:rsidRPr="00313EAB" w:rsidRDefault="005E42F1" w:rsidP="00203622">
      <w:pPr>
        <w:pStyle w:val="a7"/>
        <w:numPr>
          <w:ilvl w:val="0"/>
          <w:numId w:val="17"/>
        </w:numPr>
        <w:spacing w:before="100" w:beforeAutospacing="1" w:after="100" w:afterAutospacing="1" w:line="400" w:lineRule="exact"/>
        <w:ind w:leftChars="0"/>
        <w:rPr>
          <w:rFonts w:ascii="Times New Roman" w:eastAsia="標楷體" w:hAnsi="Times New Roman" w:cs="Times New Roman"/>
          <w:sz w:val="32"/>
          <w:szCs w:val="32"/>
        </w:rPr>
      </w:pPr>
      <w:r w:rsidRPr="00313EAB">
        <w:rPr>
          <w:rFonts w:ascii="Times New Roman" w:eastAsia="標楷體" w:hAnsi="Times New Roman" w:cs="Times New Roman" w:hint="eastAsia"/>
          <w:sz w:val="32"/>
          <w:szCs w:val="32"/>
        </w:rPr>
        <w:t>如何判斷「</w:t>
      </w:r>
      <w:r w:rsidR="00EB54E4" w:rsidRPr="00313EAB">
        <w:rPr>
          <w:rFonts w:ascii="Times New Roman" w:eastAsia="標楷體" w:hAnsi="Times New Roman" w:cs="Times New Roman" w:hint="eastAsia"/>
          <w:sz w:val="32"/>
          <w:szCs w:val="32"/>
        </w:rPr>
        <w:t>未納入合併報表之結構型個體」</w:t>
      </w:r>
      <w:r w:rsidRPr="00313EAB">
        <w:rPr>
          <w:rFonts w:ascii="Times New Roman" w:eastAsia="標楷體" w:hAnsi="Times New Roman" w:cs="Times New Roman" w:hint="eastAsia"/>
          <w:sz w:val="32"/>
          <w:szCs w:val="32"/>
        </w:rPr>
        <w:t>是否於財務報告</w:t>
      </w:r>
      <w:r w:rsidR="00EB54E4" w:rsidRPr="00313EAB">
        <w:rPr>
          <w:rFonts w:ascii="Times New Roman" w:eastAsia="標楷體" w:hAnsi="Times New Roman" w:cs="Times New Roman" w:hint="eastAsia"/>
          <w:sz w:val="32"/>
          <w:szCs w:val="32"/>
        </w:rPr>
        <w:t>揭露之指引</w:t>
      </w:r>
    </w:p>
    <w:p w:rsidR="00313EAB" w:rsidRPr="00313EAB" w:rsidRDefault="00313EAB" w:rsidP="00313EAB">
      <w:pPr>
        <w:pStyle w:val="a7"/>
        <w:spacing w:before="100" w:beforeAutospacing="1" w:after="100" w:afterAutospacing="1" w:line="400" w:lineRule="exact"/>
        <w:ind w:leftChars="437" w:left="1049"/>
        <w:rPr>
          <w:rFonts w:ascii="Times New Roman" w:eastAsia="標楷體" w:hAnsi="Times New Roman" w:cs="Times New Roman"/>
          <w:sz w:val="32"/>
          <w:szCs w:val="32"/>
          <w:u w:val="single"/>
        </w:rPr>
      </w:pPr>
      <w:r w:rsidRPr="00313EAB">
        <w:rPr>
          <w:rFonts w:ascii="Times New Roman" w:eastAsia="標楷體" w:hAnsi="Times New Roman" w:cs="Times New Roman" w:hint="eastAsia"/>
          <w:sz w:val="32"/>
          <w:szCs w:val="32"/>
          <w:u w:val="single"/>
        </w:rPr>
        <w:lastRenderedPageBreak/>
        <w:t>結構型個體之特性</w:t>
      </w:r>
    </w:p>
    <w:p w:rsidR="00965C99" w:rsidRPr="00965C99" w:rsidRDefault="00965C99" w:rsidP="00965C99">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sidRPr="00965C99">
        <w:rPr>
          <w:rFonts w:ascii="Times New Roman" w:eastAsia="標楷體" w:hAnsi="Times New Roman" w:cs="Times New Roman" w:hint="eastAsia"/>
          <w:sz w:val="32"/>
          <w:szCs w:val="32"/>
        </w:rPr>
        <w:t>為了補充定義，</w:t>
      </w:r>
      <w:r>
        <w:rPr>
          <w:rFonts w:ascii="Times New Roman" w:eastAsia="標楷體" w:hAnsi="Times New Roman" w:cs="Times New Roman" w:hint="eastAsia"/>
          <w:sz w:val="32"/>
          <w:szCs w:val="32"/>
        </w:rPr>
        <w:t>IFRS 12</w:t>
      </w:r>
      <w:r w:rsidRPr="00965C99">
        <w:rPr>
          <w:rFonts w:ascii="Times New Roman" w:eastAsia="標楷體" w:hAnsi="Times New Roman" w:cs="Times New Roman" w:hint="eastAsia"/>
          <w:sz w:val="32"/>
          <w:szCs w:val="32"/>
        </w:rPr>
        <w:t>指出結構型個體通常具有部分或全部下列特性：</w:t>
      </w:r>
    </w:p>
    <w:p w:rsidR="00965C99" w:rsidRPr="00965C99" w:rsidRDefault="00965C99" w:rsidP="00965C99">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965C99">
        <w:rPr>
          <w:rFonts w:ascii="Times New Roman" w:eastAsia="標楷體" w:hAnsi="Times New Roman" w:cs="Times New Roman" w:hint="eastAsia"/>
          <w:sz w:val="32"/>
          <w:szCs w:val="32"/>
        </w:rPr>
        <w:t>受限制之活動</w:t>
      </w:r>
      <w:r>
        <w:rPr>
          <w:rFonts w:ascii="Times New Roman" w:eastAsia="標楷體" w:hAnsi="Times New Roman" w:cs="Times New Roman" w:hint="eastAsia"/>
          <w:sz w:val="32"/>
          <w:szCs w:val="32"/>
        </w:rPr>
        <w:t>；</w:t>
      </w:r>
    </w:p>
    <w:p w:rsidR="00965C99" w:rsidRPr="00965C99" w:rsidRDefault="00965C99" w:rsidP="00965C99">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965C99">
        <w:rPr>
          <w:rFonts w:ascii="Times New Roman" w:eastAsia="標楷體" w:hAnsi="Times New Roman" w:cs="Times New Roman" w:hint="eastAsia"/>
          <w:sz w:val="32"/>
          <w:szCs w:val="32"/>
        </w:rPr>
        <w:t>具範圍小且明確</w:t>
      </w:r>
      <w:r w:rsidR="0098723A">
        <w:rPr>
          <w:rFonts w:ascii="Times New Roman" w:eastAsia="標楷體" w:hAnsi="Times New Roman" w:cs="Times New Roman" w:hint="eastAsia"/>
          <w:sz w:val="32"/>
          <w:szCs w:val="32"/>
        </w:rPr>
        <w:t>界定</w:t>
      </w:r>
      <w:r w:rsidRPr="00965C99">
        <w:rPr>
          <w:rFonts w:ascii="Times New Roman" w:eastAsia="標楷體" w:hAnsi="Times New Roman" w:cs="Times New Roman" w:hint="eastAsia"/>
          <w:sz w:val="32"/>
          <w:szCs w:val="32"/>
        </w:rPr>
        <w:t>之目的</w:t>
      </w:r>
      <w:r>
        <w:rPr>
          <w:rFonts w:ascii="Times New Roman" w:eastAsia="標楷體" w:hAnsi="Times New Roman" w:cs="Times New Roman" w:hint="eastAsia"/>
          <w:sz w:val="32"/>
          <w:szCs w:val="32"/>
        </w:rPr>
        <w:t>；</w:t>
      </w:r>
    </w:p>
    <w:p w:rsidR="00965C99" w:rsidRDefault="00965C99" w:rsidP="00965C99">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965C99">
        <w:rPr>
          <w:rFonts w:ascii="Times New Roman" w:eastAsia="標楷體" w:hAnsi="Times New Roman" w:cs="Times New Roman" w:hint="eastAsia"/>
          <w:sz w:val="32"/>
          <w:szCs w:val="32"/>
        </w:rPr>
        <w:t>若無次順位財務支援，其權益通常不足以支應該個體之活動，及</w:t>
      </w:r>
      <w:r w:rsidRPr="00965C99">
        <w:rPr>
          <w:rFonts w:ascii="Times New Roman" w:eastAsia="標楷體" w:hAnsi="Times New Roman" w:cs="Times New Roman" w:hint="eastAsia"/>
          <w:sz w:val="32"/>
          <w:szCs w:val="32"/>
        </w:rPr>
        <w:t>/</w:t>
      </w:r>
      <w:r w:rsidRPr="00965C99">
        <w:rPr>
          <w:rFonts w:ascii="Times New Roman" w:eastAsia="標楷體" w:hAnsi="Times New Roman" w:cs="Times New Roman" w:hint="eastAsia"/>
          <w:sz w:val="32"/>
          <w:szCs w:val="32"/>
        </w:rPr>
        <w:t>或</w:t>
      </w:r>
    </w:p>
    <w:p w:rsidR="00965C99" w:rsidRPr="00965C99" w:rsidRDefault="00965C99" w:rsidP="00965C99">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965C99">
        <w:rPr>
          <w:rFonts w:ascii="Times New Roman" w:eastAsia="標楷體" w:hAnsi="Times New Roman" w:cs="Times New Roman" w:hint="eastAsia"/>
          <w:sz w:val="32"/>
          <w:szCs w:val="32"/>
        </w:rPr>
        <w:t>以會產生信用或其他風險集中多項合約性連結工具之形式向投資人籌資。</w:t>
      </w:r>
    </w:p>
    <w:p w:rsidR="00313EAB" w:rsidRDefault="00CB7F63" w:rsidP="00753CAE">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Pr>
          <w:rFonts w:ascii="Times New Roman" w:eastAsia="標楷體" w:hAnsi="Times New Roman" w:cs="Times New Roman" w:hint="eastAsia"/>
          <w:sz w:val="32"/>
          <w:szCs w:val="32"/>
        </w:rPr>
        <w:t>IFRS 12</w:t>
      </w:r>
      <w:r>
        <w:rPr>
          <w:rFonts w:ascii="Times New Roman" w:eastAsia="標楷體" w:hAnsi="Times New Roman" w:cs="Times New Roman" w:hint="eastAsia"/>
          <w:sz w:val="32"/>
          <w:szCs w:val="32"/>
        </w:rPr>
        <w:t>之</w:t>
      </w:r>
      <w:r w:rsidRPr="00CB7F63">
        <w:rPr>
          <w:rFonts w:ascii="Times New Roman" w:eastAsia="標楷體" w:hAnsi="Times New Roman" w:cs="Times New Roman" w:hint="eastAsia"/>
          <w:sz w:val="32"/>
          <w:szCs w:val="32"/>
        </w:rPr>
        <w:t>結論</w:t>
      </w:r>
      <w:r>
        <w:rPr>
          <w:rFonts w:ascii="Times New Roman" w:eastAsia="標楷體" w:hAnsi="Times New Roman" w:cs="Times New Roman" w:hint="eastAsia"/>
          <w:sz w:val="32"/>
          <w:szCs w:val="32"/>
        </w:rPr>
        <w:t>基礎</w:t>
      </w:r>
      <w:r w:rsidR="00753CAE">
        <w:rPr>
          <w:rFonts w:ascii="Times New Roman" w:eastAsia="標楷體" w:hAnsi="Times New Roman" w:cs="Times New Roman" w:hint="eastAsia"/>
          <w:sz w:val="32"/>
          <w:szCs w:val="32"/>
        </w:rPr>
        <w:t>第</w:t>
      </w:r>
      <w:r>
        <w:rPr>
          <w:rFonts w:ascii="Times New Roman" w:eastAsia="標楷體" w:hAnsi="Times New Roman" w:cs="Times New Roman" w:hint="eastAsia"/>
          <w:sz w:val="32"/>
          <w:szCs w:val="32"/>
        </w:rPr>
        <w:t>BC82</w:t>
      </w:r>
      <w:r w:rsidR="00753CAE">
        <w:rPr>
          <w:rFonts w:ascii="Times New Roman" w:eastAsia="標楷體" w:hAnsi="Times New Roman" w:cs="Times New Roman" w:hint="eastAsia"/>
          <w:sz w:val="32"/>
          <w:szCs w:val="32"/>
        </w:rPr>
        <w:t>段</w:t>
      </w:r>
      <w:r w:rsidRPr="00CB7F63">
        <w:rPr>
          <w:rFonts w:ascii="Times New Roman" w:eastAsia="標楷體" w:hAnsi="Times New Roman" w:cs="Times New Roman" w:hint="eastAsia"/>
          <w:sz w:val="32"/>
          <w:szCs w:val="32"/>
        </w:rPr>
        <w:t>指出理事會</w:t>
      </w:r>
      <w:r w:rsidR="00753CAE">
        <w:rPr>
          <w:rFonts w:ascii="Times New Roman" w:eastAsia="標楷體" w:hAnsi="Times New Roman" w:cs="Times New Roman" w:hint="eastAsia"/>
          <w:sz w:val="32"/>
          <w:szCs w:val="32"/>
        </w:rPr>
        <w:t>設想被稱為</w:t>
      </w:r>
      <w:r w:rsidRPr="00CB7F63">
        <w:rPr>
          <w:rFonts w:ascii="Times New Roman" w:eastAsia="標楷體" w:hAnsi="Times New Roman" w:cs="Times New Roman" w:hint="eastAsia"/>
          <w:sz w:val="32"/>
          <w:szCs w:val="32"/>
        </w:rPr>
        <w:t>結構型個體之個體類型與解釋公告第</w:t>
      </w:r>
      <w:r w:rsidRPr="00CB7F63">
        <w:rPr>
          <w:rFonts w:ascii="Times New Roman" w:eastAsia="標楷體" w:hAnsi="Times New Roman" w:cs="Times New Roman" w:hint="eastAsia"/>
          <w:sz w:val="32"/>
          <w:szCs w:val="32"/>
        </w:rPr>
        <w:t>12</w:t>
      </w:r>
      <w:r w:rsidRPr="00CB7F63">
        <w:rPr>
          <w:rFonts w:ascii="Times New Roman" w:eastAsia="標楷體" w:hAnsi="Times New Roman" w:cs="Times New Roman" w:hint="eastAsia"/>
          <w:sz w:val="32"/>
          <w:szCs w:val="32"/>
        </w:rPr>
        <w:t>號</w:t>
      </w:r>
      <w:r w:rsidR="00753CAE">
        <w:rPr>
          <w:rFonts w:ascii="Times New Roman" w:eastAsia="標楷體" w:hAnsi="Times New Roman" w:cs="Times New Roman" w:hint="eastAsia"/>
          <w:sz w:val="32"/>
          <w:szCs w:val="32"/>
        </w:rPr>
        <w:t>「合併：特殊目的個體」</w:t>
      </w:r>
      <w:r w:rsidR="00753CAE">
        <w:rPr>
          <w:rFonts w:ascii="Times New Roman" w:eastAsia="標楷體" w:hAnsi="Times New Roman" w:cs="Times New Roman" w:hint="eastAsia"/>
          <w:sz w:val="32"/>
          <w:szCs w:val="32"/>
        </w:rPr>
        <w:t>(</w:t>
      </w:r>
      <w:r w:rsidR="00753CAE">
        <w:rPr>
          <w:rFonts w:ascii="Times New Roman" w:eastAsia="標楷體" w:hAnsi="Times New Roman" w:cs="Times New Roman" w:hint="eastAsia"/>
          <w:sz w:val="32"/>
          <w:szCs w:val="32"/>
        </w:rPr>
        <w:t>以下稱</w:t>
      </w:r>
      <w:r w:rsidR="00753CAE">
        <w:rPr>
          <w:rFonts w:ascii="Times New Roman" w:eastAsia="標楷體" w:hAnsi="Times New Roman" w:cs="Times New Roman" w:hint="eastAsia"/>
          <w:sz w:val="32"/>
          <w:szCs w:val="32"/>
        </w:rPr>
        <w:t>SIC 12)</w:t>
      </w:r>
      <w:r w:rsidRPr="00CB7F63">
        <w:rPr>
          <w:rFonts w:ascii="Times New Roman" w:eastAsia="標楷體" w:hAnsi="Times New Roman" w:cs="Times New Roman" w:hint="eastAsia"/>
          <w:sz w:val="32"/>
          <w:szCs w:val="32"/>
        </w:rPr>
        <w:t>中所稱特殊目的個體</w:t>
      </w:r>
      <w:r w:rsidRPr="00CB7F63">
        <w:rPr>
          <w:rFonts w:ascii="Times New Roman" w:eastAsia="標楷體" w:hAnsi="Times New Roman" w:cs="Times New Roman" w:hint="eastAsia"/>
          <w:sz w:val="32"/>
          <w:szCs w:val="32"/>
        </w:rPr>
        <w:t>(SPEs)</w:t>
      </w:r>
      <w:r w:rsidR="00753CAE">
        <w:rPr>
          <w:rFonts w:ascii="Times New Roman" w:eastAsia="標楷體" w:hAnsi="Times New Roman" w:cs="Times New Roman" w:hint="eastAsia"/>
          <w:sz w:val="32"/>
          <w:szCs w:val="32"/>
        </w:rPr>
        <w:t>之個體不太可能有重大差異</w:t>
      </w:r>
      <w:r w:rsidRPr="00CB7F63">
        <w:rPr>
          <w:rFonts w:ascii="Times New Roman" w:eastAsia="標楷體" w:hAnsi="Times New Roman" w:cs="Times New Roman" w:hint="eastAsia"/>
          <w:sz w:val="32"/>
          <w:szCs w:val="32"/>
        </w:rPr>
        <w:t>。因此，</w:t>
      </w:r>
      <w:r w:rsidR="00063B2F">
        <w:rPr>
          <w:rFonts w:ascii="Times New Roman" w:eastAsia="標楷體" w:hAnsi="Times New Roman" w:cs="Times New Roman" w:hint="eastAsia"/>
          <w:sz w:val="32"/>
          <w:szCs w:val="32"/>
        </w:rPr>
        <w:t>依</w:t>
      </w:r>
      <w:r w:rsidR="00753CAE">
        <w:rPr>
          <w:rFonts w:ascii="Times New Roman" w:eastAsia="標楷體" w:hAnsi="Times New Roman" w:cs="Times New Roman" w:hint="eastAsia"/>
          <w:sz w:val="32"/>
          <w:szCs w:val="32"/>
        </w:rPr>
        <w:t>SIC-12</w:t>
      </w:r>
      <w:r w:rsidR="00063B2F" w:rsidRPr="00CB7F63">
        <w:rPr>
          <w:rFonts w:ascii="Times New Roman" w:eastAsia="標楷體" w:hAnsi="Times New Roman" w:cs="Times New Roman" w:hint="eastAsia"/>
          <w:sz w:val="32"/>
          <w:szCs w:val="32"/>
        </w:rPr>
        <w:t>被分類為</w:t>
      </w:r>
      <w:r w:rsidRPr="00CB7F63">
        <w:rPr>
          <w:rFonts w:ascii="Times New Roman" w:eastAsia="標楷體" w:hAnsi="Times New Roman" w:cs="Times New Roman" w:hint="eastAsia"/>
          <w:sz w:val="32"/>
          <w:szCs w:val="32"/>
        </w:rPr>
        <w:t>之特殊目的個體</w:t>
      </w:r>
      <w:r w:rsidR="00063B2F">
        <w:rPr>
          <w:rFonts w:ascii="Times New Roman" w:eastAsia="標楷體" w:hAnsi="Times New Roman" w:cs="Times New Roman" w:hint="eastAsia"/>
          <w:sz w:val="32"/>
          <w:szCs w:val="32"/>
        </w:rPr>
        <w:t>，</w:t>
      </w:r>
      <w:r w:rsidRPr="00CB7F63">
        <w:rPr>
          <w:rFonts w:ascii="Times New Roman" w:eastAsia="標楷體" w:hAnsi="Times New Roman" w:cs="Times New Roman" w:hint="eastAsia"/>
          <w:sz w:val="32"/>
          <w:szCs w:val="32"/>
        </w:rPr>
        <w:t>很有可能為結構型個體。</w:t>
      </w:r>
    </w:p>
    <w:p w:rsidR="00753CAE" w:rsidRDefault="00CB7F63" w:rsidP="00753CAE">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sidRPr="00CB7F63">
        <w:rPr>
          <w:rFonts w:ascii="Times New Roman" w:eastAsia="標楷體" w:hAnsi="Times New Roman" w:cs="Times New Roman" w:hint="eastAsia"/>
          <w:sz w:val="32"/>
          <w:szCs w:val="32"/>
        </w:rPr>
        <w:t>具範圍小且明確界定之目的而可能為結構型個體之例包括促成具租稅效率之租賃、執行研究發展活動、提供資金管道或資金與個體</w:t>
      </w:r>
      <w:r w:rsidR="00753CAE">
        <w:rPr>
          <w:rFonts w:ascii="Times New Roman" w:eastAsia="標楷體" w:hAnsi="Times New Roman" w:cs="Times New Roman" w:hint="eastAsia"/>
          <w:sz w:val="32"/>
          <w:szCs w:val="32"/>
        </w:rPr>
        <w:t>、</w:t>
      </w:r>
      <w:r w:rsidRPr="00CB7F63">
        <w:rPr>
          <w:rFonts w:ascii="Times New Roman" w:eastAsia="標楷體" w:hAnsi="Times New Roman" w:cs="Times New Roman" w:hint="eastAsia"/>
          <w:sz w:val="32"/>
          <w:szCs w:val="32"/>
        </w:rPr>
        <w:t>或藉由將與結構型個體之資產相關之風險與報酬轉嫁予投資人以提供投資機會與投資人。</w:t>
      </w:r>
      <w:r w:rsidR="00F8538A" w:rsidRPr="0007459D">
        <w:rPr>
          <w:rFonts w:ascii="Times New Roman" w:eastAsia="標楷體" w:hAnsi="Times New Roman" w:cs="Times New Roman" w:hint="eastAsia"/>
          <w:sz w:val="32"/>
          <w:szCs w:val="32"/>
        </w:rPr>
        <w:t>其他結構型個體之例包括</w:t>
      </w:r>
      <w:r w:rsidRPr="0007459D">
        <w:rPr>
          <w:rFonts w:ascii="Times New Roman" w:eastAsia="標楷體" w:hAnsi="Times New Roman" w:cs="Times New Roman" w:hint="eastAsia"/>
          <w:sz w:val="32"/>
          <w:szCs w:val="32"/>
        </w:rPr>
        <w:t>證券化載具</w:t>
      </w:r>
      <w:r w:rsidR="00F8538A" w:rsidRPr="00CC4683">
        <w:rPr>
          <w:rFonts w:ascii="Times New Roman" w:eastAsia="標楷體" w:hAnsi="Times New Roman" w:cs="Times New Roman" w:hint="eastAsia"/>
          <w:sz w:val="32"/>
          <w:szCs w:val="32"/>
        </w:rPr>
        <w:t>（</w:t>
      </w:r>
      <w:r w:rsidR="0098723A">
        <w:rPr>
          <w:rFonts w:ascii="Times New Roman" w:eastAsia="標楷體" w:hAnsi="Times New Roman" w:cs="Times New Roman" w:hint="eastAsia"/>
          <w:sz w:val="32"/>
          <w:szCs w:val="32"/>
        </w:rPr>
        <w:t>例如</w:t>
      </w:r>
      <w:r w:rsidR="0007459D" w:rsidRPr="00CC4683">
        <w:rPr>
          <w:rFonts w:ascii="Times New Roman" w:eastAsia="標楷體" w:hAnsi="Times New Roman" w:cs="Times New Roman"/>
          <w:sz w:val="32"/>
          <w:szCs w:val="32"/>
        </w:rPr>
        <w:t>不動產投資信託基金</w:t>
      </w:r>
      <w:r w:rsidR="0007459D" w:rsidRPr="00CC4683">
        <w:rPr>
          <w:rFonts w:ascii="Times New Roman" w:eastAsia="標楷體" w:hAnsi="Times New Roman" w:cs="Times New Roman" w:hint="eastAsia"/>
          <w:sz w:val="32"/>
          <w:szCs w:val="32"/>
        </w:rPr>
        <w:t>及金融資產證券化受益憑證等）</w:t>
      </w:r>
      <w:r w:rsidRPr="0007459D">
        <w:rPr>
          <w:rFonts w:ascii="Times New Roman" w:eastAsia="標楷體" w:hAnsi="Times New Roman" w:cs="Times New Roman" w:hint="eastAsia"/>
          <w:sz w:val="32"/>
          <w:szCs w:val="32"/>
        </w:rPr>
        <w:t>、資產擔保之籌資及某些投資</w:t>
      </w:r>
      <w:r w:rsidR="0098723A">
        <w:rPr>
          <w:rFonts w:ascii="Times New Roman" w:eastAsia="標楷體" w:hAnsi="Times New Roman" w:cs="Times New Roman" w:hint="eastAsia"/>
          <w:sz w:val="32"/>
          <w:szCs w:val="32"/>
        </w:rPr>
        <w:t>基金（例如私募基金）</w:t>
      </w:r>
      <w:r w:rsidRPr="0007459D">
        <w:rPr>
          <w:rFonts w:ascii="Times New Roman" w:eastAsia="標楷體" w:hAnsi="Times New Roman" w:cs="Times New Roman" w:hint="eastAsia"/>
          <w:sz w:val="32"/>
          <w:szCs w:val="32"/>
        </w:rPr>
        <w:t>。</w:t>
      </w:r>
    </w:p>
    <w:p w:rsidR="00EB3F09" w:rsidRPr="00EB3F09" w:rsidRDefault="00EB3F09" w:rsidP="00EB3F09">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sidRPr="00EB3F09">
        <w:rPr>
          <w:rFonts w:ascii="Times New Roman" w:eastAsia="標楷體" w:hAnsi="Times New Roman" w:cs="Times New Roman" w:hint="eastAsia"/>
          <w:sz w:val="32"/>
          <w:szCs w:val="32"/>
        </w:rPr>
        <w:t>IFRS 12</w:t>
      </w:r>
      <w:r w:rsidRPr="00EB3F09">
        <w:rPr>
          <w:rFonts w:ascii="Times New Roman" w:eastAsia="標楷體" w:hAnsi="Times New Roman" w:cs="Times New Roman" w:hint="eastAsia"/>
          <w:sz w:val="32"/>
          <w:szCs w:val="32"/>
        </w:rPr>
        <w:t>並未排除</w:t>
      </w:r>
      <w:r w:rsidRPr="00EB3F09">
        <w:rPr>
          <w:rFonts w:ascii="Times New Roman" w:eastAsia="標楷體" w:hAnsi="Times New Roman" w:cs="Times New Roman" w:hint="eastAsia"/>
          <w:sz w:val="32"/>
          <w:szCs w:val="32"/>
        </w:rPr>
        <w:t>IAS 39</w:t>
      </w:r>
      <w:r w:rsidRPr="00EB3F09">
        <w:rPr>
          <w:rFonts w:ascii="Times New Roman" w:eastAsia="標楷體" w:hAnsi="Times New Roman" w:cs="Times New Roman" w:hint="eastAsia"/>
          <w:sz w:val="32"/>
          <w:szCs w:val="32"/>
        </w:rPr>
        <w:t>「金融工具：認列與衡量」適用範圍內之結構型個體，因此對結構型個體所持有之權益包括放款與結構型個體及衍生性工具諸如利率交換、換</w:t>
      </w:r>
      <w:proofErr w:type="gramStart"/>
      <w:r w:rsidRPr="00EB3F09">
        <w:rPr>
          <w:rFonts w:ascii="Times New Roman" w:eastAsia="標楷體" w:hAnsi="Times New Roman" w:cs="Times New Roman" w:hint="eastAsia"/>
          <w:sz w:val="32"/>
          <w:szCs w:val="32"/>
        </w:rPr>
        <w:t>匯</w:t>
      </w:r>
      <w:proofErr w:type="gramEnd"/>
      <w:r w:rsidRPr="00EB3F09">
        <w:rPr>
          <w:rFonts w:ascii="Times New Roman" w:eastAsia="標楷體" w:hAnsi="Times New Roman" w:cs="Times New Roman" w:hint="eastAsia"/>
          <w:sz w:val="32"/>
          <w:szCs w:val="32"/>
        </w:rPr>
        <w:t>、商品交換及遠期合約。該等工具是否符合「權益」須視事實及情況予以判斷，包括考量該個體之設計。</w:t>
      </w:r>
    </w:p>
    <w:p w:rsidR="00DA746C" w:rsidRDefault="00DA746C" w:rsidP="00DA746C">
      <w:pPr>
        <w:pStyle w:val="a7"/>
        <w:spacing w:before="100" w:beforeAutospacing="1" w:after="100" w:afterAutospacing="1" w:line="400" w:lineRule="exact"/>
        <w:ind w:leftChars="437" w:left="1049"/>
        <w:rPr>
          <w:rFonts w:ascii="Times New Roman" w:eastAsia="標楷體" w:hAnsi="Times New Roman" w:cs="Times New Roman"/>
          <w:sz w:val="32"/>
          <w:szCs w:val="32"/>
        </w:rPr>
      </w:pPr>
      <w:r>
        <w:rPr>
          <w:rFonts w:ascii="Times New Roman" w:eastAsia="標楷體" w:hAnsi="Times New Roman" w:cs="Times New Roman" w:hint="eastAsia"/>
          <w:sz w:val="32"/>
          <w:szCs w:val="32"/>
          <w:u w:val="single"/>
        </w:rPr>
        <w:t>未納入合併報表之</w:t>
      </w:r>
      <w:r w:rsidRPr="00313EAB">
        <w:rPr>
          <w:rFonts w:ascii="Times New Roman" w:eastAsia="標楷體" w:hAnsi="Times New Roman" w:cs="Times New Roman" w:hint="eastAsia"/>
          <w:sz w:val="32"/>
          <w:szCs w:val="32"/>
          <w:u w:val="single"/>
        </w:rPr>
        <w:t>結構型個體</w:t>
      </w:r>
    </w:p>
    <w:p w:rsidR="00EB54E4" w:rsidRDefault="00460011" w:rsidP="00753CAE">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於</w:t>
      </w:r>
      <w:r w:rsidR="007F1EB5">
        <w:rPr>
          <w:rFonts w:ascii="Times New Roman" w:eastAsia="標楷體" w:hAnsi="Times New Roman" w:cs="Times New Roman" w:hint="eastAsia"/>
          <w:sz w:val="32"/>
          <w:szCs w:val="32"/>
        </w:rPr>
        <w:t>判</w:t>
      </w:r>
      <w:r w:rsidR="005536F5">
        <w:rPr>
          <w:rFonts w:ascii="Times New Roman" w:eastAsia="標楷體" w:hAnsi="Times New Roman" w:cs="Times New Roman" w:hint="eastAsia"/>
          <w:sz w:val="32"/>
          <w:szCs w:val="32"/>
        </w:rPr>
        <w:t>定</w:t>
      </w:r>
      <w:r w:rsidR="007F1EB5">
        <w:rPr>
          <w:rFonts w:ascii="Times New Roman" w:eastAsia="標楷體" w:hAnsi="Times New Roman" w:cs="Times New Roman" w:hint="eastAsia"/>
          <w:sz w:val="32"/>
          <w:szCs w:val="32"/>
        </w:rPr>
        <w:t>是否</w:t>
      </w:r>
      <w:r>
        <w:rPr>
          <w:rFonts w:ascii="Times New Roman" w:eastAsia="標楷體" w:hAnsi="Times New Roman" w:cs="Times New Roman" w:hint="eastAsia"/>
          <w:sz w:val="32"/>
          <w:szCs w:val="32"/>
        </w:rPr>
        <w:t>應依</w:t>
      </w:r>
      <w:r>
        <w:rPr>
          <w:rFonts w:ascii="Times New Roman" w:eastAsia="標楷體" w:hAnsi="Times New Roman" w:cs="Times New Roman" w:hint="eastAsia"/>
          <w:sz w:val="32"/>
          <w:szCs w:val="32"/>
        </w:rPr>
        <w:t>IFRS 12</w:t>
      </w:r>
      <w:r>
        <w:rPr>
          <w:rFonts w:ascii="Times New Roman" w:eastAsia="標楷體" w:hAnsi="Times New Roman" w:cs="Times New Roman" w:hint="eastAsia"/>
          <w:sz w:val="32"/>
          <w:szCs w:val="32"/>
        </w:rPr>
        <w:t>規定揭露</w:t>
      </w:r>
      <w:r w:rsidRPr="00E95E2D">
        <w:rPr>
          <w:rFonts w:ascii="Times New Roman" w:eastAsia="標楷體" w:hAnsi="Times New Roman" w:cs="Times New Roman" w:hint="eastAsia"/>
          <w:sz w:val="32"/>
          <w:szCs w:val="32"/>
        </w:rPr>
        <w:t>未納入合併報表之結構型個體相關資訊時，</w:t>
      </w:r>
      <w:r w:rsidRPr="00D22845">
        <w:rPr>
          <w:rFonts w:ascii="Times New Roman" w:eastAsia="標楷體" w:hAnsi="Times New Roman" w:cs="Times New Roman" w:hint="eastAsia"/>
          <w:sz w:val="32"/>
          <w:szCs w:val="32"/>
        </w:rPr>
        <w:t>主要係</w:t>
      </w:r>
      <w:r w:rsidR="00D22845" w:rsidRPr="00D22845">
        <w:rPr>
          <w:rFonts w:ascii="Times New Roman" w:eastAsia="標楷體" w:hAnsi="Times New Roman" w:cs="Times New Roman" w:hint="eastAsia"/>
          <w:sz w:val="32"/>
          <w:szCs w:val="32"/>
        </w:rPr>
        <w:t>考量該</w:t>
      </w:r>
      <w:r w:rsidR="00CB7F63" w:rsidRPr="00D22845">
        <w:rPr>
          <w:rFonts w:ascii="Times New Roman" w:eastAsia="標楷體" w:hAnsi="Times New Roman" w:cs="Times New Roman" w:hint="eastAsia"/>
          <w:sz w:val="32"/>
          <w:szCs w:val="32"/>
        </w:rPr>
        <w:t>個體之目的</w:t>
      </w:r>
      <w:r w:rsidR="00E95E2D" w:rsidRPr="00D22845">
        <w:rPr>
          <w:rFonts w:ascii="Times New Roman" w:eastAsia="標楷體" w:hAnsi="Times New Roman" w:cs="Times New Roman" w:hint="eastAsia"/>
          <w:sz w:val="32"/>
          <w:szCs w:val="32"/>
        </w:rPr>
        <w:t>及</w:t>
      </w:r>
      <w:r w:rsidR="00CB7F63" w:rsidRPr="00D22845">
        <w:rPr>
          <w:rFonts w:ascii="Times New Roman" w:eastAsia="標楷體" w:hAnsi="Times New Roman" w:cs="Times New Roman" w:hint="eastAsia"/>
          <w:sz w:val="32"/>
          <w:szCs w:val="32"/>
        </w:rPr>
        <w:t>設計</w:t>
      </w:r>
      <w:r w:rsidR="000676F1" w:rsidRPr="00D22845">
        <w:rPr>
          <w:rFonts w:ascii="Times New Roman" w:eastAsia="標楷體" w:hAnsi="Times New Roman" w:cs="Times New Roman" w:hint="eastAsia"/>
          <w:sz w:val="32"/>
          <w:szCs w:val="32"/>
        </w:rPr>
        <w:t>，</w:t>
      </w:r>
      <w:r w:rsidR="00CB7F63" w:rsidRPr="00D22845">
        <w:rPr>
          <w:rFonts w:ascii="Times New Roman" w:eastAsia="標楷體" w:hAnsi="Times New Roman" w:cs="Times New Roman" w:hint="eastAsia"/>
          <w:sz w:val="32"/>
          <w:szCs w:val="32"/>
        </w:rPr>
        <w:t>包括</w:t>
      </w:r>
      <w:r w:rsidR="00D22845" w:rsidRPr="00D22845">
        <w:rPr>
          <w:rFonts w:ascii="Times New Roman" w:eastAsia="標楷體" w:hAnsi="Times New Roman" w:cs="Times New Roman" w:hint="eastAsia"/>
          <w:sz w:val="32"/>
          <w:szCs w:val="32"/>
        </w:rPr>
        <w:t>考量</w:t>
      </w:r>
      <w:r w:rsidR="00CB7F63" w:rsidRPr="00D22845">
        <w:rPr>
          <w:rFonts w:ascii="Times New Roman" w:eastAsia="標楷體" w:hAnsi="Times New Roman" w:cs="Times New Roman" w:hint="eastAsia"/>
          <w:sz w:val="32"/>
          <w:szCs w:val="32"/>
        </w:rPr>
        <w:t>未</w:t>
      </w:r>
      <w:r w:rsidR="00CB7F63" w:rsidRPr="00753CAE">
        <w:rPr>
          <w:rFonts w:ascii="Times New Roman" w:eastAsia="標楷體" w:hAnsi="Times New Roman" w:cs="Times New Roman" w:hint="eastAsia"/>
          <w:sz w:val="32"/>
          <w:szCs w:val="32"/>
        </w:rPr>
        <w:t>納入合併報表之結構型個體被設計</w:t>
      </w:r>
      <w:r w:rsidR="00D22845">
        <w:rPr>
          <w:rFonts w:ascii="Times New Roman" w:eastAsia="標楷體" w:hAnsi="Times New Roman" w:cs="Times New Roman" w:hint="eastAsia"/>
          <w:sz w:val="32"/>
          <w:szCs w:val="32"/>
        </w:rPr>
        <w:t>來產生之</w:t>
      </w:r>
      <w:r w:rsidR="00CB7F63" w:rsidRPr="00753CAE">
        <w:rPr>
          <w:rFonts w:ascii="Times New Roman" w:eastAsia="標楷體" w:hAnsi="Times New Roman" w:cs="Times New Roman" w:hint="eastAsia"/>
          <w:sz w:val="32"/>
          <w:szCs w:val="32"/>
        </w:rPr>
        <w:t>風險、被設計轉嫁予參與未納入合併報表之結構型個體之各方之風險，以及報導企業是否暴露於某些或全部風險。若企業暴露於來自對未納入財務報表之結構型個體之參與之報酬變動性，該參與</w:t>
      </w:r>
      <w:proofErr w:type="gramStart"/>
      <w:r w:rsidR="00CB7F63" w:rsidRPr="00753CAE">
        <w:rPr>
          <w:rFonts w:ascii="Times New Roman" w:eastAsia="標楷體" w:hAnsi="Times New Roman" w:cs="Times New Roman" w:hint="eastAsia"/>
          <w:sz w:val="32"/>
          <w:szCs w:val="32"/>
        </w:rPr>
        <w:t>與</w:t>
      </w:r>
      <w:proofErr w:type="gramEnd"/>
      <w:r w:rsidR="00CB7F63" w:rsidRPr="00753CAE">
        <w:rPr>
          <w:rFonts w:ascii="Times New Roman" w:eastAsia="標楷體" w:hAnsi="Times New Roman" w:cs="Times New Roman" w:hint="eastAsia"/>
          <w:sz w:val="32"/>
          <w:szCs w:val="32"/>
        </w:rPr>
        <w:t>未納入合併報表之個體之目的與設計不相關，</w:t>
      </w:r>
      <w:r w:rsidR="004E6CC0">
        <w:rPr>
          <w:rFonts w:ascii="Times New Roman" w:eastAsia="標楷體" w:hAnsi="Times New Roman" w:cs="Times New Roman" w:hint="eastAsia"/>
          <w:sz w:val="32"/>
          <w:szCs w:val="32"/>
        </w:rPr>
        <w:t>例</w:t>
      </w:r>
      <w:r w:rsidR="00CB7F63" w:rsidRPr="00753CAE">
        <w:rPr>
          <w:rFonts w:ascii="Times New Roman" w:eastAsia="標楷體" w:hAnsi="Times New Roman" w:cs="Times New Roman" w:hint="eastAsia"/>
          <w:sz w:val="32"/>
          <w:szCs w:val="32"/>
        </w:rPr>
        <w:t>如典型之客戶與供應商關係</w:t>
      </w:r>
      <w:r w:rsidR="00CB7F63" w:rsidRPr="0004572D">
        <w:rPr>
          <w:rFonts w:ascii="Times New Roman" w:eastAsia="標楷體" w:hAnsi="Times New Roman" w:cs="Times New Roman" w:hint="eastAsia"/>
          <w:sz w:val="32"/>
          <w:szCs w:val="32"/>
        </w:rPr>
        <w:t>，</w:t>
      </w:r>
      <w:r w:rsidR="00CB7F63" w:rsidRPr="00753CAE">
        <w:rPr>
          <w:rFonts w:ascii="Times New Roman" w:eastAsia="標楷體" w:hAnsi="Times New Roman" w:cs="Times New Roman" w:hint="eastAsia"/>
          <w:sz w:val="32"/>
          <w:szCs w:val="32"/>
        </w:rPr>
        <w:t>則其</w:t>
      </w:r>
      <w:r w:rsidR="002D0D7B">
        <w:rPr>
          <w:rFonts w:ascii="Times New Roman" w:eastAsia="標楷體" w:hAnsi="Times New Roman" w:cs="Times New Roman" w:hint="eastAsia"/>
          <w:sz w:val="32"/>
          <w:szCs w:val="32"/>
        </w:rPr>
        <w:t>無須</w:t>
      </w:r>
      <w:r w:rsidR="002D0D7B" w:rsidRPr="00753CAE">
        <w:rPr>
          <w:rFonts w:ascii="Times New Roman" w:eastAsia="標楷體" w:hAnsi="Times New Roman" w:cs="Times New Roman" w:hint="eastAsia"/>
          <w:sz w:val="32"/>
          <w:szCs w:val="32"/>
        </w:rPr>
        <w:t>揭露</w:t>
      </w:r>
      <w:r w:rsidR="002D0D7B">
        <w:rPr>
          <w:rFonts w:ascii="Times New Roman" w:eastAsia="標楷體" w:hAnsi="Times New Roman" w:cs="Times New Roman" w:hint="eastAsia"/>
          <w:sz w:val="32"/>
          <w:szCs w:val="32"/>
        </w:rPr>
        <w:t>相關權益資訊</w:t>
      </w:r>
      <w:r w:rsidR="00CB7F63" w:rsidRPr="00753CAE">
        <w:rPr>
          <w:rFonts w:ascii="Times New Roman" w:eastAsia="標楷體" w:hAnsi="Times New Roman" w:cs="Times New Roman" w:hint="eastAsia"/>
          <w:sz w:val="32"/>
          <w:szCs w:val="32"/>
        </w:rPr>
        <w:t>。</w:t>
      </w:r>
    </w:p>
    <w:p w:rsidR="005E42F1" w:rsidRDefault="003F2104" w:rsidP="00EB54E4">
      <w:pPr>
        <w:pStyle w:val="a7"/>
        <w:spacing w:before="100" w:beforeAutospacing="1" w:after="100" w:afterAutospacing="1" w:line="400" w:lineRule="exact"/>
        <w:ind w:leftChars="0" w:left="1068"/>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釋例</w:t>
      </w:r>
      <w:proofErr w:type="gramEnd"/>
      <w:r>
        <w:rPr>
          <w:rFonts w:ascii="Times New Roman" w:eastAsia="標楷體" w:hAnsi="Times New Roman" w:cs="Times New Roman" w:hint="eastAsia"/>
          <w:sz w:val="32"/>
          <w:szCs w:val="32"/>
        </w:rPr>
        <w:t>：</w:t>
      </w:r>
    </w:p>
    <w:p w:rsidR="003F2104" w:rsidRPr="003F2104" w:rsidRDefault="003F2104" w:rsidP="00B35B87">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sidRPr="003F2104">
        <w:rPr>
          <w:rFonts w:ascii="Times New Roman" w:eastAsia="標楷體" w:hAnsi="Times New Roman" w:cs="Times New Roman" w:hint="eastAsia"/>
          <w:sz w:val="32"/>
          <w:szCs w:val="32"/>
        </w:rPr>
        <w:t>結構型個體</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是由</w:t>
      </w:r>
      <w:r w:rsidR="009F1051">
        <w:rPr>
          <w:rFonts w:ascii="Times New Roman" w:eastAsia="標楷體" w:hAnsi="Times New Roman" w:cs="Times New Roman" w:hint="eastAsia"/>
          <w:sz w:val="32"/>
          <w:szCs w:val="32"/>
        </w:rPr>
        <w:t>不動產</w:t>
      </w:r>
      <w:r w:rsidRPr="003F2104">
        <w:rPr>
          <w:rFonts w:ascii="Times New Roman" w:eastAsia="標楷體" w:hAnsi="Times New Roman" w:cs="Times New Roman" w:hint="eastAsia"/>
          <w:sz w:val="32"/>
          <w:szCs w:val="32"/>
        </w:rPr>
        <w:t>基金</w:t>
      </w:r>
      <w:r w:rsidRPr="003F2104">
        <w:rPr>
          <w:rFonts w:ascii="Times New Roman" w:eastAsia="標楷體" w:hAnsi="Times New Roman" w:cs="Times New Roman" w:hint="eastAsia"/>
          <w:sz w:val="32"/>
          <w:szCs w:val="32"/>
        </w:rPr>
        <w:t>(F)</w:t>
      </w:r>
      <w:r w:rsidRPr="003F2104">
        <w:rPr>
          <w:rFonts w:ascii="Times New Roman" w:eastAsia="標楷體" w:hAnsi="Times New Roman" w:cs="Times New Roman" w:hint="eastAsia"/>
          <w:sz w:val="32"/>
          <w:szCs w:val="32"/>
        </w:rPr>
        <w:t>與資產</w:t>
      </w:r>
      <w:r w:rsidR="009F1051">
        <w:rPr>
          <w:rFonts w:ascii="Times New Roman" w:eastAsia="標楷體" w:hAnsi="Times New Roman" w:cs="Times New Roman" w:hint="eastAsia"/>
          <w:sz w:val="32"/>
          <w:szCs w:val="32"/>
        </w:rPr>
        <w:t>管理人</w:t>
      </w:r>
      <w:r w:rsidRPr="003F2104">
        <w:rPr>
          <w:rFonts w:ascii="Times New Roman" w:eastAsia="標楷體" w:hAnsi="Times New Roman" w:cs="Times New Roman" w:hint="eastAsia"/>
          <w:sz w:val="32"/>
          <w:szCs w:val="32"/>
        </w:rPr>
        <w:t>(M)</w:t>
      </w:r>
      <w:r w:rsidRPr="003F2104">
        <w:rPr>
          <w:rFonts w:ascii="Times New Roman" w:eastAsia="標楷體" w:hAnsi="Times New Roman" w:cs="Times New Roman" w:hint="eastAsia"/>
          <w:sz w:val="32"/>
          <w:szCs w:val="32"/>
        </w:rPr>
        <w:t>為特定</w:t>
      </w:r>
      <w:r w:rsidR="009F1051">
        <w:rPr>
          <w:rFonts w:ascii="Times New Roman" w:eastAsia="標楷體" w:hAnsi="Times New Roman" w:cs="Times New Roman" w:hint="eastAsia"/>
          <w:sz w:val="32"/>
          <w:szCs w:val="32"/>
        </w:rPr>
        <w:t>目的</w:t>
      </w:r>
      <w:r w:rsidRPr="003F2104">
        <w:rPr>
          <w:rFonts w:ascii="Times New Roman" w:eastAsia="標楷體" w:hAnsi="Times New Roman" w:cs="Times New Roman" w:hint="eastAsia"/>
          <w:sz w:val="32"/>
          <w:szCs w:val="32"/>
        </w:rPr>
        <w:t>而</w:t>
      </w:r>
      <w:r w:rsidR="009F1051">
        <w:rPr>
          <w:rFonts w:ascii="Times New Roman" w:eastAsia="標楷體" w:hAnsi="Times New Roman" w:cs="Times New Roman" w:hint="eastAsia"/>
          <w:sz w:val="32"/>
          <w:szCs w:val="32"/>
        </w:rPr>
        <w:t>設</w:t>
      </w:r>
      <w:r w:rsidRPr="003F2104">
        <w:rPr>
          <w:rFonts w:ascii="Times New Roman" w:eastAsia="標楷體" w:hAnsi="Times New Roman" w:cs="Times New Roman" w:hint="eastAsia"/>
          <w:sz w:val="32"/>
          <w:szCs w:val="32"/>
        </w:rPr>
        <w:t>立。</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的長期目的係要取得</w:t>
      </w:r>
      <w:r w:rsidR="009F1051">
        <w:rPr>
          <w:rFonts w:ascii="Times New Roman" w:eastAsia="標楷體" w:hAnsi="Times New Roman" w:cs="Times New Roman" w:hint="eastAsia"/>
          <w:sz w:val="32"/>
          <w:szCs w:val="32"/>
        </w:rPr>
        <w:t>商業辦公大樓以賺取租</w:t>
      </w:r>
      <w:r w:rsidR="00410618">
        <w:rPr>
          <w:rFonts w:ascii="Times New Roman" w:eastAsia="標楷體" w:hAnsi="Times New Roman" w:cs="Times New Roman" w:hint="eastAsia"/>
          <w:sz w:val="32"/>
          <w:szCs w:val="32"/>
        </w:rPr>
        <w:t>金</w:t>
      </w:r>
      <w:r w:rsidRPr="003F2104">
        <w:rPr>
          <w:rFonts w:ascii="Times New Roman" w:eastAsia="標楷體" w:hAnsi="Times New Roman" w:cs="Times New Roman" w:hint="eastAsia"/>
          <w:sz w:val="32"/>
          <w:szCs w:val="32"/>
        </w:rPr>
        <w:t>及資本增值。</w:t>
      </w:r>
      <w:r w:rsidRPr="003F2104">
        <w:rPr>
          <w:rFonts w:ascii="Times New Roman" w:eastAsia="標楷體" w:hAnsi="Times New Roman" w:cs="Times New Roman" w:hint="eastAsia"/>
          <w:sz w:val="32"/>
          <w:szCs w:val="32"/>
        </w:rPr>
        <w:t>F</w:t>
      </w:r>
      <w:r w:rsidR="009F1051">
        <w:rPr>
          <w:rFonts w:ascii="Times New Roman" w:eastAsia="標楷體" w:hAnsi="Times New Roman" w:cs="Times New Roman" w:hint="eastAsia"/>
          <w:sz w:val="32"/>
          <w:szCs w:val="32"/>
        </w:rPr>
        <w:t>依</w:t>
      </w:r>
      <w:r w:rsidR="009F1051">
        <w:rPr>
          <w:rFonts w:ascii="Times New Roman" w:eastAsia="標楷體" w:hAnsi="Times New Roman" w:cs="Times New Roman" w:hint="eastAsia"/>
          <w:sz w:val="32"/>
          <w:szCs w:val="32"/>
        </w:rPr>
        <w:t>IFRS 10</w:t>
      </w:r>
      <w:r w:rsidR="009F1051">
        <w:rPr>
          <w:rFonts w:ascii="Times New Roman" w:eastAsia="標楷體" w:hAnsi="Times New Roman" w:cs="Times New Roman" w:hint="eastAsia"/>
          <w:sz w:val="32"/>
          <w:szCs w:val="32"/>
        </w:rPr>
        <w:t>判定</w:t>
      </w:r>
      <w:r w:rsidRPr="003F2104">
        <w:rPr>
          <w:rFonts w:ascii="Times New Roman" w:eastAsia="標楷體" w:hAnsi="Times New Roman" w:cs="Times New Roman" w:hint="eastAsia"/>
          <w:sz w:val="32"/>
          <w:szCs w:val="32"/>
        </w:rPr>
        <w:t>其</w:t>
      </w:r>
      <w:r w:rsidR="009F1051" w:rsidRPr="003F2104">
        <w:rPr>
          <w:rFonts w:ascii="Times New Roman" w:eastAsia="標楷體" w:hAnsi="Times New Roman" w:cs="Times New Roman" w:hint="eastAsia"/>
          <w:sz w:val="32"/>
          <w:szCs w:val="32"/>
        </w:rPr>
        <w:t>控制</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w:t>
      </w:r>
      <w:r w:rsidRPr="003F2104">
        <w:rPr>
          <w:rFonts w:ascii="Times New Roman" w:eastAsia="標楷體" w:hAnsi="Times New Roman" w:cs="Times New Roman" w:hint="eastAsia"/>
          <w:sz w:val="32"/>
          <w:szCs w:val="32"/>
        </w:rPr>
        <w:t>M</w:t>
      </w:r>
      <w:r w:rsidRPr="003F2104">
        <w:rPr>
          <w:rFonts w:ascii="Times New Roman" w:eastAsia="標楷體" w:hAnsi="Times New Roman" w:cs="Times New Roman" w:hint="eastAsia"/>
          <w:sz w:val="32"/>
          <w:szCs w:val="32"/>
        </w:rPr>
        <w:t>擔任</w:t>
      </w:r>
      <w:r w:rsidRPr="003F2104">
        <w:rPr>
          <w:rFonts w:ascii="Times New Roman" w:eastAsia="標楷體" w:hAnsi="Times New Roman" w:cs="Times New Roman" w:hint="eastAsia"/>
          <w:sz w:val="32"/>
          <w:szCs w:val="32"/>
        </w:rPr>
        <w:t>F</w:t>
      </w:r>
      <w:r w:rsidRPr="003F2104">
        <w:rPr>
          <w:rFonts w:ascii="Times New Roman" w:eastAsia="標楷體" w:hAnsi="Times New Roman" w:cs="Times New Roman" w:hint="eastAsia"/>
          <w:sz w:val="32"/>
          <w:szCs w:val="32"/>
        </w:rPr>
        <w:t>之代理人，</w:t>
      </w:r>
      <w:r w:rsidR="00410618">
        <w:rPr>
          <w:rFonts w:ascii="Times New Roman" w:eastAsia="標楷體" w:hAnsi="Times New Roman" w:cs="Times New Roman" w:hint="eastAsia"/>
          <w:sz w:val="32"/>
          <w:szCs w:val="32"/>
        </w:rPr>
        <w:t>所</w:t>
      </w:r>
      <w:r w:rsidR="00A52462" w:rsidRPr="00A52462">
        <w:rPr>
          <w:rFonts w:ascii="Times New Roman" w:eastAsia="標楷體" w:hAnsi="Times New Roman" w:cs="Times New Roman" w:hint="eastAsia"/>
          <w:sz w:val="32"/>
          <w:szCs w:val="32"/>
        </w:rPr>
        <w:t>從事之</w:t>
      </w:r>
      <w:r w:rsidRPr="00A52462">
        <w:rPr>
          <w:rFonts w:ascii="Times New Roman" w:eastAsia="標楷體" w:hAnsi="Times New Roman" w:cs="Times New Roman" w:hint="eastAsia"/>
          <w:sz w:val="32"/>
          <w:szCs w:val="32"/>
        </w:rPr>
        <w:t>活動將包括尋找承租人</w:t>
      </w:r>
      <w:r w:rsidR="009F1051" w:rsidRPr="00A52462">
        <w:rPr>
          <w:rFonts w:ascii="Times New Roman" w:eastAsia="標楷體" w:hAnsi="Times New Roman" w:cs="Times New Roman" w:hint="eastAsia"/>
          <w:sz w:val="32"/>
          <w:szCs w:val="32"/>
        </w:rPr>
        <w:t>、洽談</w:t>
      </w:r>
      <w:r w:rsidRPr="00A52462">
        <w:rPr>
          <w:rFonts w:ascii="Times New Roman" w:eastAsia="標楷體" w:hAnsi="Times New Roman" w:cs="Times New Roman" w:hint="eastAsia"/>
          <w:sz w:val="32"/>
          <w:szCs w:val="32"/>
        </w:rPr>
        <w:t>租賃合約及</w:t>
      </w:r>
      <w:r w:rsidR="009F1051" w:rsidRPr="00A52462">
        <w:rPr>
          <w:rFonts w:ascii="Times New Roman" w:eastAsia="標楷體" w:hAnsi="Times New Roman" w:cs="Times New Roman" w:hint="eastAsia"/>
          <w:sz w:val="32"/>
          <w:szCs w:val="32"/>
        </w:rPr>
        <w:t>持續</w:t>
      </w:r>
      <w:r w:rsidRPr="00A52462">
        <w:rPr>
          <w:rFonts w:ascii="Times New Roman" w:eastAsia="標楷體" w:hAnsi="Times New Roman" w:cs="Times New Roman" w:hint="eastAsia"/>
          <w:sz w:val="32"/>
          <w:szCs w:val="32"/>
        </w:rPr>
        <w:t>提供大樓</w:t>
      </w:r>
      <w:r w:rsidR="00A52462" w:rsidRPr="00A52462">
        <w:rPr>
          <w:rFonts w:ascii="Times New Roman" w:eastAsia="標楷體" w:hAnsi="Times New Roman" w:cs="Times New Roman" w:hint="eastAsia"/>
          <w:sz w:val="32"/>
          <w:szCs w:val="32"/>
        </w:rPr>
        <w:t>之</w:t>
      </w:r>
      <w:r w:rsidRPr="00A52462">
        <w:rPr>
          <w:rFonts w:ascii="Times New Roman" w:eastAsia="標楷體" w:hAnsi="Times New Roman" w:cs="Times New Roman" w:hint="eastAsia"/>
          <w:sz w:val="32"/>
          <w:szCs w:val="32"/>
        </w:rPr>
        <w:t>營運、維護及管理</w:t>
      </w:r>
      <w:r w:rsidR="00A52462">
        <w:rPr>
          <w:rFonts w:ascii="Times New Roman" w:eastAsia="標楷體" w:hAnsi="Times New Roman" w:cs="Times New Roman" w:hint="eastAsia"/>
          <w:sz w:val="32"/>
          <w:szCs w:val="32"/>
        </w:rPr>
        <w:t>等</w:t>
      </w:r>
      <w:r w:rsidRPr="00A52462">
        <w:rPr>
          <w:rFonts w:ascii="Times New Roman" w:eastAsia="標楷體" w:hAnsi="Times New Roman" w:cs="Times New Roman" w:hint="eastAsia"/>
          <w:sz w:val="32"/>
          <w:szCs w:val="32"/>
        </w:rPr>
        <w:t>服務。</w:t>
      </w:r>
      <w:r w:rsidRPr="003F2104">
        <w:rPr>
          <w:rFonts w:ascii="Times New Roman" w:eastAsia="標楷體" w:hAnsi="Times New Roman" w:cs="Times New Roman" w:hint="eastAsia"/>
          <w:sz w:val="32"/>
          <w:szCs w:val="32"/>
        </w:rPr>
        <w:t>M</w:t>
      </w:r>
      <w:r w:rsidRPr="003F2104">
        <w:rPr>
          <w:rFonts w:ascii="Times New Roman" w:eastAsia="標楷體" w:hAnsi="Times New Roman" w:cs="Times New Roman" w:hint="eastAsia"/>
          <w:sz w:val="32"/>
          <w:szCs w:val="32"/>
        </w:rPr>
        <w:t>之管理費係</w:t>
      </w:r>
      <w:r w:rsidR="00A52462">
        <w:rPr>
          <w:rFonts w:ascii="Times New Roman" w:eastAsia="標楷體" w:hAnsi="Times New Roman" w:cs="Times New Roman" w:hint="eastAsia"/>
          <w:sz w:val="32"/>
          <w:szCs w:val="32"/>
        </w:rPr>
        <w:t>以</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之績效</w:t>
      </w:r>
      <w:r w:rsidR="00A52462">
        <w:rPr>
          <w:rFonts w:ascii="Times New Roman" w:eastAsia="標楷體" w:hAnsi="Times New Roman" w:cs="Times New Roman" w:hint="eastAsia"/>
          <w:sz w:val="32"/>
          <w:szCs w:val="32"/>
        </w:rPr>
        <w:t>為基礎</w:t>
      </w:r>
      <w:r w:rsidRPr="003F2104">
        <w:rPr>
          <w:rFonts w:ascii="Times New Roman" w:eastAsia="標楷體" w:hAnsi="Times New Roman" w:cs="Times New Roman" w:hint="eastAsia"/>
          <w:sz w:val="32"/>
          <w:szCs w:val="32"/>
        </w:rPr>
        <w:t>。</w:t>
      </w:r>
      <w:r w:rsidR="00A52462"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與</w:t>
      </w:r>
      <w:r w:rsidRPr="003F2104">
        <w:rPr>
          <w:rFonts w:ascii="Times New Roman" w:eastAsia="標楷體" w:hAnsi="Times New Roman" w:cs="Times New Roman" w:hint="eastAsia"/>
          <w:sz w:val="32"/>
          <w:szCs w:val="32"/>
        </w:rPr>
        <w:t>Z</w:t>
      </w:r>
      <w:r w:rsidRPr="003F2104">
        <w:rPr>
          <w:rFonts w:ascii="Times New Roman" w:eastAsia="標楷體" w:hAnsi="Times New Roman" w:cs="Times New Roman" w:hint="eastAsia"/>
          <w:sz w:val="32"/>
          <w:szCs w:val="32"/>
        </w:rPr>
        <w:t>公司簽訂合約</w:t>
      </w:r>
      <w:r w:rsidR="00A52462">
        <w:rPr>
          <w:rFonts w:ascii="Times New Roman" w:eastAsia="標楷體" w:hAnsi="Times New Roman" w:cs="Times New Roman" w:hint="eastAsia"/>
          <w:sz w:val="32"/>
          <w:szCs w:val="32"/>
        </w:rPr>
        <w:t>，向</w:t>
      </w:r>
      <w:r w:rsidR="00A52462">
        <w:rPr>
          <w:rFonts w:ascii="Times New Roman" w:eastAsia="標楷體" w:hAnsi="Times New Roman" w:cs="Times New Roman" w:hint="eastAsia"/>
          <w:sz w:val="32"/>
          <w:szCs w:val="32"/>
        </w:rPr>
        <w:t>Z</w:t>
      </w:r>
      <w:r w:rsidR="00A52462">
        <w:rPr>
          <w:rFonts w:ascii="Times New Roman" w:eastAsia="標楷體" w:hAnsi="Times New Roman" w:cs="Times New Roman" w:hint="eastAsia"/>
          <w:sz w:val="32"/>
          <w:szCs w:val="32"/>
        </w:rPr>
        <w:t>公司</w:t>
      </w:r>
      <w:r w:rsidRPr="003F2104">
        <w:rPr>
          <w:rFonts w:ascii="Times New Roman" w:eastAsia="標楷體" w:hAnsi="Times New Roman" w:cs="Times New Roman" w:hint="eastAsia"/>
          <w:sz w:val="32"/>
          <w:szCs w:val="32"/>
        </w:rPr>
        <w:t>取得</w:t>
      </w:r>
      <w:r w:rsidR="00A52462">
        <w:rPr>
          <w:rFonts w:ascii="Times New Roman" w:eastAsia="標楷體" w:hAnsi="Times New Roman" w:cs="Times New Roman" w:hint="eastAsia"/>
          <w:sz w:val="32"/>
          <w:szCs w:val="32"/>
        </w:rPr>
        <w:t>興建該</w:t>
      </w:r>
      <w:r w:rsidRPr="003F2104">
        <w:rPr>
          <w:rFonts w:ascii="Times New Roman" w:eastAsia="標楷體" w:hAnsi="Times New Roman" w:cs="Times New Roman" w:hint="eastAsia"/>
          <w:sz w:val="32"/>
          <w:szCs w:val="32"/>
        </w:rPr>
        <w:t>商業辦公大樓</w:t>
      </w:r>
      <w:r w:rsidR="00A52462">
        <w:rPr>
          <w:rFonts w:ascii="Times New Roman" w:eastAsia="標楷體" w:hAnsi="Times New Roman" w:cs="Times New Roman" w:hint="eastAsia"/>
          <w:sz w:val="32"/>
          <w:szCs w:val="32"/>
        </w:rPr>
        <w:t>之用地，並</w:t>
      </w:r>
      <w:r w:rsidR="00410618">
        <w:rPr>
          <w:rFonts w:ascii="Times New Roman" w:eastAsia="標楷體" w:hAnsi="Times New Roman" w:cs="Times New Roman" w:hint="eastAsia"/>
          <w:sz w:val="32"/>
          <w:szCs w:val="32"/>
        </w:rPr>
        <w:t>由</w:t>
      </w:r>
      <w:r w:rsidR="00A52462">
        <w:rPr>
          <w:rFonts w:ascii="Times New Roman" w:eastAsia="標楷體" w:hAnsi="Times New Roman" w:cs="Times New Roman" w:hint="eastAsia"/>
          <w:sz w:val="32"/>
          <w:szCs w:val="32"/>
        </w:rPr>
        <w:t>Z</w:t>
      </w:r>
      <w:r w:rsidR="00A52462">
        <w:rPr>
          <w:rFonts w:ascii="Times New Roman" w:eastAsia="標楷體" w:hAnsi="Times New Roman" w:cs="Times New Roman" w:hint="eastAsia"/>
          <w:sz w:val="32"/>
          <w:szCs w:val="32"/>
        </w:rPr>
        <w:t>公司</w:t>
      </w:r>
      <w:r w:rsidRPr="003F2104">
        <w:rPr>
          <w:rFonts w:ascii="Times New Roman" w:eastAsia="標楷體" w:hAnsi="Times New Roman" w:cs="Times New Roman" w:hint="eastAsia"/>
          <w:sz w:val="32"/>
          <w:szCs w:val="32"/>
        </w:rPr>
        <w:t>設計與建造該大樓。</w:t>
      </w:r>
      <w:r w:rsidRPr="003F2104">
        <w:rPr>
          <w:rFonts w:ascii="Times New Roman" w:eastAsia="標楷體" w:hAnsi="Times New Roman" w:cs="Times New Roman" w:hint="eastAsia"/>
          <w:sz w:val="32"/>
          <w:szCs w:val="32"/>
        </w:rPr>
        <w:t>Z</w:t>
      </w:r>
      <w:r w:rsidRPr="003F2104">
        <w:rPr>
          <w:rFonts w:ascii="Times New Roman" w:eastAsia="標楷體" w:hAnsi="Times New Roman" w:cs="Times New Roman" w:hint="eastAsia"/>
          <w:sz w:val="32"/>
          <w:szCs w:val="32"/>
        </w:rPr>
        <w:t>公司</w:t>
      </w:r>
      <w:r w:rsidR="00A52462" w:rsidRPr="003F2104">
        <w:rPr>
          <w:rFonts w:ascii="Times New Roman" w:eastAsia="標楷體" w:hAnsi="Times New Roman" w:cs="Times New Roman" w:hint="eastAsia"/>
          <w:sz w:val="32"/>
          <w:szCs w:val="32"/>
        </w:rPr>
        <w:t>除</w:t>
      </w:r>
      <w:r w:rsidR="00A52462">
        <w:rPr>
          <w:rFonts w:ascii="Times New Roman" w:eastAsia="標楷體" w:hAnsi="Times New Roman" w:cs="Times New Roman" w:hint="eastAsia"/>
          <w:sz w:val="32"/>
          <w:szCs w:val="32"/>
        </w:rPr>
        <w:t>了</w:t>
      </w:r>
      <w:r w:rsidRPr="003F2104">
        <w:rPr>
          <w:rFonts w:ascii="Times New Roman" w:eastAsia="標楷體" w:hAnsi="Times New Roman" w:cs="Times New Roman" w:hint="eastAsia"/>
          <w:sz w:val="32"/>
          <w:szCs w:val="32"/>
        </w:rPr>
        <w:t>將於未來兩年</w:t>
      </w:r>
      <w:r w:rsidR="00A52462">
        <w:rPr>
          <w:rFonts w:ascii="Times New Roman" w:eastAsia="標楷體" w:hAnsi="Times New Roman" w:cs="Times New Roman" w:hint="eastAsia"/>
          <w:sz w:val="32"/>
          <w:szCs w:val="32"/>
        </w:rPr>
        <w:t>間</w:t>
      </w:r>
      <w:r w:rsidR="00460011">
        <w:rPr>
          <w:rFonts w:ascii="Times New Roman" w:eastAsia="標楷體" w:hAnsi="Times New Roman" w:cs="Times New Roman" w:hint="eastAsia"/>
          <w:sz w:val="32"/>
          <w:szCs w:val="32"/>
        </w:rPr>
        <w:t>收</w:t>
      </w:r>
      <w:r w:rsidR="00460011" w:rsidRPr="003F2104">
        <w:rPr>
          <w:rFonts w:ascii="Times New Roman" w:eastAsia="標楷體" w:hAnsi="Times New Roman" w:cs="Times New Roman" w:hint="eastAsia"/>
          <w:sz w:val="32"/>
          <w:szCs w:val="32"/>
        </w:rPr>
        <w:t>取</w:t>
      </w:r>
      <w:r w:rsidR="00A52462">
        <w:rPr>
          <w:rFonts w:ascii="Times New Roman" w:eastAsia="標楷體" w:hAnsi="Times New Roman" w:cs="Times New Roman" w:hint="eastAsia"/>
          <w:sz w:val="32"/>
          <w:szCs w:val="32"/>
        </w:rPr>
        <w:t>SE</w:t>
      </w:r>
      <w:r w:rsidR="00460011">
        <w:rPr>
          <w:rFonts w:ascii="Times New Roman" w:eastAsia="標楷體" w:hAnsi="Times New Roman" w:cs="Times New Roman" w:hint="eastAsia"/>
          <w:sz w:val="32"/>
          <w:szCs w:val="32"/>
        </w:rPr>
        <w:t>支付之款項</w:t>
      </w:r>
      <w:r w:rsidR="00A52462">
        <w:rPr>
          <w:rFonts w:ascii="Times New Roman" w:eastAsia="標楷體" w:hAnsi="Times New Roman" w:cs="Times New Roman" w:hint="eastAsia"/>
          <w:sz w:val="32"/>
          <w:szCs w:val="32"/>
        </w:rPr>
        <w:t>外</w:t>
      </w:r>
      <w:r w:rsidRPr="003F2104">
        <w:rPr>
          <w:rFonts w:ascii="Times New Roman" w:eastAsia="標楷體" w:hAnsi="Times New Roman" w:cs="Times New Roman" w:hint="eastAsia"/>
          <w:sz w:val="32"/>
          <w:szCs w:val="32"/>
        </w:rPr>
        <w:t>，</w:t>
      </w:r>
      <w:r w:rsidR="00A52462">
        <w:rPr>
          <w:rFonts w:ascii="Times New Roman" w:eastAsia="標楷體" w:hAnsi="Times New Roman" w:cs="Times New Roman" w:hint="eastAsia"/>
          <w:sz w:val="32"/>
          <w:szCs w:val="32"/>
        </w:rPr>
        <w:t>未參與</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w:t>
      </w:r>
    </w:p>
    <w:p w:rsidR="003F2104" w:rsidRDefault="003F2104" w:rsidP="009B4106">
      <w:pPr>
        <w:pStyle w:val="a7"/>
        <w:spacing w:before="100" w:beforeAutospacing="1" w:after="100" w:afterAutospacing="1" w:line="400" w:lineRule="exact"/>
        <w:ind w:leftChars="0" w:left="1068"/>
        <w:rPr>
          <w:rFonts w:ascii="Times New Roman" w:eastAsia="標楷體" w:hAnsi="Times New Roman" w:cs="Times New Roman"/>
          <w:sz w:val="32"/>
          <w:szCs w:val="32"/>
        </w:rPr>
      </w:pPr>
    </w:p>
    <w:p w:rsidR="003F2104" w:rsidRDefault="003F2104" w:rsidP="00EB54E4">
      <w:pPr>
        <w:pStyle w:val="a7"/>
        <w:spacing w:before="100" w:beforeAutospacing="1" w:after="100" w:afterAutospacing="1" w:line="400" w:lineRule="exact"/>
        <w:ind w:leftChars="0" w:left="1068"/>
        <w:rPr>
          <w:rFonts w:ascii="Times New Roman" w:eastAsia="標楷體" w:hAnsi="Times New Roman" w:cs="Times New Roman"/>
          <w:sz w:val="32"/>
          <w:szCs w:val="32"/>
        </w:rPr>
      </w:pPr>
    </w:p>
    <w:p w:rsidR="009D42EC" w:rsidRDefault="009D42EC" w:rsidP="009B4106">
      <w:pPr>
        <w:pStyle w:val="a7"/>
        <w:spacing w:before="100" w:beforeAutospacing="1" w:after="100" w:afterAutospacing="1" w:line="400" w:lineRule="exact"/>
        <w:ind w:leftChars="0" w:left="1068"/>
        <w:rPr>
          <w:rFonts w:ascii="Times New Roman" w:eastAsia="標楷體" w:hAnsi="Times New Roman" w:cs="Times New Roman"/>
          <w:sz w:val="32"/>
          <w:szCs w:val="32"/>
        </w:rPr>
      </w:pPr>
    </w:p>
    <w:p w:rsidR="00475C3D" w:rsidRDefault="00475C3D" w:rsidP="003F2104">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p>
    <w:p w:rsidR="003F2104" w:rsidRPr="00A52462" w:rsidRDefault="00292E9A" w:rsidP="00D22845">
      <w:pPr>
        <w:pStyle w:val="a7"/>
        <w:spacing w:before="100" w:beforeAutospacing="1" w:after="100" w:afterAutospacing="1" w:line="400" w:lineRule="exact"/>
        <w:ind w:leftChars="0" w:left="1068" w:firstLineChars="197" w:firstLine="473"/>
        <w:rPr>
          <w:rFonts w:ascii="Times New Roman" w:eastAsia="標楷體" w:hAnsi="Times New Roman" w:cs="Times New Roman"/>
          <w:sz w:val="32"/>
          <w:szCs w:val="32"/>
        </w:rPr>
      </w:pPr>
      <w:r w:rsidRPr="00292E9A">
        <w:pict>
          <v:group id="_x0000_s1130" style="width:396.85pt;height:157.05pt;mso-position-horizontal-relative:char;mso-position-vertical-relative:line" coordorigin="3960,8640" coordsize="6120,2160">
            <v:roundrect id="_x0000_s1131" style="position:absolute;left:3960;top:8640;width:1474;height:907" arcsize="10923f">
              <v:textbox style="mso-next-textbox:#_x0000_s1131">
                <w:txbxContent>
                  <w:p w:rsidR="00215388" w:rsidRPr="001E73F9" w:rsidRDefault="00215388" w:rsidP="00475C3D">
                    <w:pPr>
                      <w:spacing w:line="0" w:lineRule="atLeast"/>
                      <w:jc w:val="center"/>
                      <w:rPr>
                        <w:rFonts w:ascii="Times New Roman" w:eastAsia="標楷體" w:hAnsi="Times New Roman" w:cs="Times New Roman"/>
                        <w:sz w:val="32"/>
                        <w:szCs w:val="32"/>
                      </w:rPr>
                    </w:pPr>
                    <w:r w:rsidRPr="001E73F9">
                      <w:rPr>
                        <w:rFonts w:ascii="Times New Roman" w:eastAsia="標楷體" w:hAnsi="標楷體" w:cs="Times New Roman"/>
                        <w:sz w:val="32"/>
                        <w:szCs w:val="32"/>
                      </w:rPr>
                      <w:t>資產</w:t>
                    </w:r>
                    <w:r>
                      <w:rPr>
                        <w:rFonts w:ascii="Times New Roman" w:eastAsia="標楷體" w:hAnsi="標楷體" w:cs="Times New Roman" w:hint="eastAsia"/>
                        <w:sz w:val="32"/>
                        <w:szCs w:val="32"/>
                      </w:rPr>
                      <w:t>管理</w:t>
                    </w:r>
                    <w:r w:rsidRPr="001E73F9">
                      <w:rPr>
                        <w:rFonts w:ascii="Times New Roman" w:eastAsia="標楷體" w:hAnsi="標楷體" w:cs="Times New Roman"/>
                        <w:sz w:val="32"/>
                        <w:szCs w:val="32"/>
                      </w:rPr>
                      <w:t>人</w:t>
                    </w:r>
                    <w:r w:rsidRPr="001E73F9">
                      <w:rPr>
                        <w:rFonts w:ascii="Times New Roman" w:eastAsia="標楷體" w:hAnsi="Times New Roman" w:cs="Times New Roman"/>
                        <w:sz w:val="32"/>
                        <w:szCs w:val="32"/>
                      </w:rPr>
                      <w:t>(M)</w:t>
                    </w:r>
                  </w:p>
                </w:txbxContent>
              </v:textbox>
            </v:roundrect>
            <v:roundrect id="_x0000_s1132" style="position:absolute;left:6300;top:8640;width:1474;height:907" arcsize="10923f">
              <v:textbox style="mso-next-textbox:#_x0000_s1132">
                <w:txbxContent>
                  <w:p w:rsidR="00215388" w:rsidRPr="001E73F9" w:rsidRDefault="00215388" w:rsidP="00475C3D">
                    <w:pPr>
                      <w:spacing w:line="0" w:lineRule="atLeas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不動</w:t>
                    </w:r>
                    <w:r w:rsidRPr="001E73F9">
                      <w:rPr>
                        <w:rFonts w:ascii="Times New Roman" w:eastAsia="標楷體" w:hAnsi="標楷體" w:cs="Times New Roman"/>
                        <w:sz w:val="32"/>
                        <w:szCs w:val="32"/>
                      </w:rPr>
                      <w:t>產</w:t>
                    </w:r>
                  </w:p>
                  <w:p w:rsidR="00215388" w:rsidRPr="001E73F9" w:rsidRDefault="00215388" w:rsidP="00475C3D">
                    <w:pPr>
                      <w:spacing w:line="0" w:lineRule="atLeast"/>
                      <w:jc w:val="center"/>
                      <w:rPr>
                        <w:rFonts w:ascii="Times New Roman" w:eastAsia="標楷體" w:hAnsi="Times New Roman" w:cs="Times New Roman"/>
                        <w:sz w:val="32"/>
                        <w:szCs w:val="32"/>
                      </w:rPr>
                    </w:pPr>
                    <w:r w:rsidRPr="001E73F9">
                      <w:rPr>
                        <w:rFonts w:ascii="Times New Roman" w:eastAsia="標楷體" w:hAnsi="標楷體" w:cs="Times New Roman"/>
                        <w:sz w:val="32"/>
                        <w:szCs w:val="32"/>
                      </w:rPr>
                      <w:t>基金</w:t>
                    </w:r>
                    <w:r w:rsidRPr="001E73F9">
                      <w:rPr>
                        <w:rFonts w:ascii="Times New Roman" w:eastAsia="標楷體" w:hAnsi="Times New Roman" w:cs="Times New Roman"/>
                        <w:sz w:val="32"/>
                        <w:szCs w:val="32"/>
                      </w:rPr>
                      <w:t>(F)</w:t>
                    </w:r>
                  </w:p>
                </w:txbxContent>
              </v:textbox>
            </v:roundrect>
            <v:roundrect id="_x0000_s1133" style="position:absolute;left:8606;top:8640;width:1474;height:907" arcsize="10923f">
              <v:textbox style="mso-next-textbox:#_x0000_s1133">
                <w:txbxContent>
                  <w:p w:rsidR="00215388" w:rsidRPr="001E73F9" w:rsidRDefault="00215388" w:rsidP="00475C3D">
                    <w:pPr>
                      <w:jc w:val="center"/>
                      <w:rPr>
                        <w:rFonts w:ascii="Times New Roman" w:eastAsia="標楷體" w:hAnsi="Times New Roman" w:cs="Times New Roman"/>
                        <w:sz w:val="32"/>
                        <w:szCs w:val="32"/>
                      </w:rPr>
                    </w:pPr>
                    <w:r w:rsidRPr="001E73F9">
                      <w:rPr>
                        <w:rFonts w:ascii="Times New Roman" w:eastAsia="標楷體" w:hAnsi="Times New Roman" w:cs="Times New Roman"/>
                        <w:sz w:val="32"/>
                        <w:szCs w:val="32"/>
                      </w:rPr>
                      <w:t>Z</w:t>
                    </w:r>
                    <w:r w:rsidRPr="001E73F9">
                      <w:rPr>
                        <w:rFonts w:ascii="Times New Roman" w:eastAsia="標楷體" w:hAnsi="標楷體" w:cs="Times New Roman"/>
                        <w:sz w:val="32"/>
                        <w:szCs w:val="32"/>
                      </w:rPr>
                      <w:t>公司</w:t>
                    </w:r>
                  </w:p>
                </w:txbxContent>
              </v:textbox>
            </v:roundrect>
            <v:roundrect id="_x0000_s1134" style="position:absolute;left:6300;top:10290;width:1474;height:510" arcsize="10923f">
              <v:textbox style="mso-next-textbox:#_x0000_s1134">
                <w:txbxContent>
                  <w:p w:rsidR="00215388" w:rsidRPr="001E73F9" w:rsidRDefault="00215388" w:rsidP="00475C3D">
                    <w:pPr>
                      <w:jc w:val="center"/>
                      <w:rPr>
                        <w:rFonts w:ascii="Times New Roman" w:eastAsia="標楷體" w:hAnsi="Times New Roman" w:cs="Times New Roman"/>
                        <w:sz w:val="32"/>
                        <w:szCs w:val="32"/>
                      </w:rPr>
                    </w:pPr>
                    <w:r w:rsidRPr="001E73F9">
                      <w:rPr>
                        <w:rFonts w:ascii="Times New Roman" w:eastAsia="標楷體" w:hAnsi="Times New Roman" w:cs="Times New Roman"/>
                        <w:sz w:val="32"/>
                        <w:szCs w:val="32"/>
                      </w:rPr>
                      <w:t>SE</w:t>
                    </w:r>
                  </w:p>
                </w:txbxContent>
              </v:textbox>
            </v:roundrect>
            <v:shapetype id="_x0000_t32" coordsize="21600,21600" o:spt="32" o:oned="t" path="m,l21600,21600e" filled="f">
              <v:path arrowok="t" fillok="f" o:connecttype="none"/>
              <o:lock v:ext="edit" shapetype="t"/>
            </v:shapetype>
            <v:shape id="_x0000_s1135" type="#_x0000_t32" style="position:absolute;left:7774;top:9105;width:832;height:0" o:connectortype="straight">
              <v:stroke endarrow="block"/>
            </v:shape>
            <v:shape id="_x0000_s1136" type="#_x0000_t32" style="position:absolute;left:5419;top:9105;width:866;height:0;flip:x" o:connectortype="straight">
              <v:stroke endarrow="block"/>
            </v:shape>
            <v:shape id="_x0000_s1137" type="#_x0000_t32" style="position:absolute;left:7020;top:9547;width:0;height:743"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8" type="#_x0000_t34" style="position:absolute;left:4680;top:9547;width:1620;height:1073" o:connectortype="elbow" adj="0,-192186,-62400">
              <v:stroke endarrow="block"/>
            </v:shape>
            <v:shape id="_x0000_s1139" type="#_x0000_t34" style="position:absolute;left:7774;top:9547;width:1586;height:1073;rotation:180;flip:y" o:connectortype="elbow" adj="177,192186,-127475">
              <v:stroke endarrow="block"/>
            </v:shape>
            <v:shapetype id="_x0000_t202" coordsize="21600,21600" o:spt="202" path="m,l,21600r21600,l21600,xe">
              <v:stroke joinstyle="miter"/>
              <v:path gradientshapeok="t" o:connecttype="rect"/>
            </v:shapetype>
            <v:shape id="_x0000_s1140" type="#_x0000_t202" style="position:absolute;left:6120;top:9626;width:850;height:454" filled="f" stroked="f">
              <v:textbox style="mso-next-textbox:#_x0000_s1140">
                <w:txbxContent>
                  <w:p w:rsidR="00215388" w:rsidRPr="001E73F9" w:rsidRDefault="00215388" w:rsidP="00475C3D">
                    <w:pPr>
                      <w:rPr>
                        <w:sz w:val="32"/>
                        <w:szCs w:val="32"/>
                      </w:rPr>
                    </w:pPr>
                    <w:r w:rsidRPr="001E73F9">
                      <w:rPr>
                        <w:rFonts w:hint="eastAsia"/>
                        <w:sz w:val="32"/>
                        <w:szCs w:val="32"/>
                      </w:rPr>
                      <w:t>100%</w:t>
                    </w:r>
                  </w:p>
                </w:txbxContent>
              </v:textbox>
            </v:shape>
            <v:shape id="_x0000_s1141" type="#_x0000_t202" style="position:absolute;left:8283;top:10110;width:1077;height:510" filled="f" stroked="f">
              <v:textbox style="mso-next-textbox:#_x0000_s1141">
                <w:txbxContent>
                  <w:p w:rsidR="00215388" w:rsidRPr="001E73F9" w:rsidRDefault="00215388" w:rsidP="00475C3D">
                    <w:pPr>
                      <w:rPr>
                        <w:rFonts w:ascii="Times New Roman" w:eastAsia="標楷體" w:hAnsi="Times New Roman" w:cs="Times New Roman"/>
                        <w:sz w:val="32"/>
                        <w:szCs w:val="32"/>
                      </w:rPr>
                    </w:pPr>
                    <w:r w:rsidRPr="001E73F9">
                      <w:rPr>
                        <w:rFonts w:ascii="Times New Roman" w:eastAsia="標楷體" w:hAnsi="標楷體" w:cs="Times New Roman"/>
                        <w:sz w:val="32"/>
                        <w:szCs w:val="32"/>
                      </w:rPr>
                      <w:t>賣土地</w:t>
                    </w:r>
                  </w:p>
                </w:txbxContent>
              </v:textbox>
            </v:shape>
            <v:shape id="_x0000_s1142" type="#_x0000_t202" style="position:absolute;left:4680;top:10110;width:1417;height:510" filled="f" stroked="f">
              <v:textbox style="mso-next-textbox:#_x0000_s1142">
                <w:txbxContent>
                  <w:p w:rsidR="00215388" w:rsidRPr="001E73F9" w:rsidRDefault="00215388" w:rsidP="00475C3D">
                    <w:pPr>
                      <w:rPr>
                        <w:rFonts w:ascii="Times New Roman" w:eastAsia="標楷體" w:hAnsi="Times New Roman" w:cs="Times New Roman"/>
                        <w:sz w:val="32"/>
                        <w:szCs w:val="32"/>
                      </w:rPr>
                    </w:pPr>
                    <w:r w:rsidRPr="001E73F9">
                      <w:rPr>
                        <w:rFonts w:ascii="Times New Roman" w:eastAsia="標楷體" w:hAnsi="Times New Roman" w:cs="Times New Roman"/>
                        <w:sz w:val="32"/>
                        <w:szCs w:val="32"/>
                      </w:rPr>
                      <w:t>F</w:t>
                    </w:r>
                    <w:r w:rsidRPr="001E73F9">
                      <w:rPr>
                        <w:rFonts w:ascii="Times New Roman" w:eastAsia="標楷體" w:hAnsi="標楷體" w:cs="Times New Roman"/>
                        <w:sz w:val="32"/>
                        <w:szCs w:val="32"/>
                      </w:rPr>
                      <w:t>之代理人</w:t>
                    </w:r>
                  </w:p>
                </w:txbxContent>
              </v:textbox>
            </v:shape>
            <w10:wrap type="none"/>
            <w10:anchorlock/>
          </v:group>
        </w:pict>
      </w:r>
      <w:proofErr w:type="gramStart"/>
      <w:r w:rsidR="00475C3D" w:rsidRPr="00A52462">
        <w:rPr>
          <w:rFonts w:ascii="Times New Roman" w:eastAsia="標楷體" w:hAnsi="Times New Roman" w:cs="Times New Roman" w:hint="eastAsia"/>
          <w:sz w:val="32"/>
          <w:szCs w:val="32"/>
        </w:rPr>
        <w:t>在此釋例中</w:t>
      </w:r>
      <w:proofErr w:type="gramEnd"/>
      <w:r w:rsidR="00475C3D" w:rsidRPr="00A52462">
        <w:rPr>
          <w:rFonts w:ascii="Times New Roman" w:eastAsia="標楷體" w:hAnsi="Times New Roman" w:cs="Times New Roman" w:hint="eastAsia"/>
          <w:sz w:val="32"/>
          <w:szCs w:val="32"/>
        </w:rPr>
        <w:t>，</w:t>
      </w:r>
      <w:r w:rsidR="00A52462" w:rsidRPr="00A52462">
        <w:rPr>
          <w:rFonts w:ascii="Times New Roman" w:eastAsia="標楷體" w:hAnsi="Times New Roman" w:cs="Times New Roman" w:hint="eastAsia"/>
          <w:sz w:val="32"/>
          <w:szCs w:val="32"/>
        </w:rPr>
        <w:t>F</w:t>
      </w:r>
      <w:r w:rsidR="00A52462" w:rsidRPr="00A52462">
        <w:rPr>
          <w:rFonts w:ascii="Times New Roman" w:eastAsia="標楷體" w:hAnsi="Times New Roman" w:cs="Times New Roman" w:hint="eastAsia"/>
          <w:sz w:val="32"/>
          <w:szCs w:val="32"/>
        </w:rPr>
        <w:t>、</w:t>
      </w:r>
      <w:r w:rsidR="00A52462" w:rsidRPr="00A52462">
        <w:rPr>
          <w:rFonts w:ascii="Times New Roman" w:eastAsia="標楷體" w:hAnsi="Times New Roman" w:cs="Times New Roman" w:hint="eastAsia"/>
          <w:sz w:val="32"/>
          <w:szCs w:val="32"/>
        </w:rPr>
        <w:t>M</w:t>
      </w:r>
      <w:r w:rsidR="00A52462" w:rsidRPr="00A52462">
        <w:rPr>
          <w:rFonts w:ascii="Times New Roman" w:eastAsia="標楷體" w:hAnsi="Times New Roman" w:cs="Times New Roman" w:hint="eastAsia"/>
          <w:sz w:val="32"/>
          <w:szCs w:val="32"/>
        </w:rPr>
        <w:t>及</w:t>
      </w:r>
      <w:r w:rsidR="00A52462" w:rsidRPr="00A52462">
        <w:rPr>
          <w:rFonts w:ascii="Times New Roman" w:eastAsia="標楷體" w:hAnsi="Times New Roman" w:cs="Times New Roman" w:hint="eastAsia"/>
          <w:sz w:val="32"/>
          <w:szCs w:val="32"/>
        </w:rPr>
        <w:t>Z</w:t>
      </w:r>
      <w:r w:rsidR="00A52462" w:rsidRPr="00A52462">
        <w:rPr>
          <w:rFonts w:ascii="Times New Roman" w:eastAsia="標楷體" w:hAnsi="Times New Roman" w:cs="Times New Roman" w:hint="eastAsia"/>
          <w:sz w:val="32"/>
          <w:szCs w:val="32"/>
        </w:rPr>
        <w:t>公司所作成之結論如下：</w:t>
      </w:r>
    </w:p>
    <w:p w:rsidR="003F2104" w:rsidRPr="003F2104" w:rsidRDefault="003F2104" w:rsidP="003F2104">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3F2104">
        <w:rPr>
          <w:rFonts w:ascii="Times New Roman" w:eastAsia="標楷體" w:hAnsi="Times New Roman" w:cs="Times New Roman" w:hint="eastAsia"/>
          <w:sz w:val="32"/>
          <w:szCs w:val="32"/>
        </w:rPr>
        <w:t>F</w:t>
      </w:r>
      <w:r w:rsidRPr="003F2104">
        <w:rPr>
          <w:rFonts w:ascii="Times New Roman" w:eastAsia="標楷體" w:hAnsi="Times New Roman" w:cs="Times New Roman" w:hint="eastAsia"/>
          <w:sz w:val="32"/>
          <w:szCs w:val="32"/>
        </w:rPr>
        <w:t>為</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之母公司，</w:t>
      </w:r>
      <w:r w:rsidR="00A52462">
        <w:rPr>
          <w:rFonts w:ascii="Times New Roman" w:eastAsia="標楷體" w:hAnsi="Times New Roman" w:cs="Times New Roman" w:hint="eastAsia"/>
          <w:sz w:val="32"/>
          <w:szCs w:val="32"/>
        </w:rPr>
        <w:t>應依</w:t>
      </w:r>
      <w:r w:rsidR="00A52462">
        <w:rPr>
          <w:rFonts w:ascii="Times New Roman" w:eastAsia="標楷體" w:hAnsi="Times New Roman" w:cs="Times New Roman" w:hint="eastAsia"/>
          <w:sz w:val="32"/>
          <w:szCs w:val="32"/>
        </w:rPr>
        <w:t>IFRS 12</w:t>
      </w:r>
      <w:r w:rsidR="00A52462">
        <w:rPr>
          <w:rFonts w:ascii="Times New Roman" w:eastAsia="標楷體" w:hAnsi="Times New Roman" w:cs="Times New Roman" w:hint="eastAsia"/>
          <w:sz w:val="32"/>
          <w:szCs w:val="32"/>
        </w:rPr>
        <w:t>揭露</w:t>
      </w:r>
      <w:r w:rsidR="00E84136">
        <w:rPr>
          <w:rFonts w:ascii="Times New Roman" w:eastAsia="標楷體" w:hAnsi="Times New Roman" w:cs="Times New Roman" w:hint="eastAsia"/>
          <w:sz w:val="32"/>
          <w:szCs w:val="32"/>
        </w:rPr>
        <w:t>有關</w:t>
      </w:r>
      <w:r w:rsidR="00A52462">
        <w:rPr>
          <w:rFonts w:ascii="Times New Roman" w:eastAsia="標楷體" w:hAnsi="Times New Roman" w:cs="Times New Roman" w:hint="eastAsia"/>
          <w:sz w:val="32"/>
          <w:szCs w:val="32"/>
        </w:rPr>
        <w:t>子公司</w:t>
      </w:r>
      <w:r w:rsidR="00E84136">
        <w:rPr>
          <w:rFonts w:ascii="Times New Roman" w:eastAsia="標楷體" w:hAnsi="Times New Roman" w:cs="Times New Roman" w:hint="eastAsia"/>
          <w:sz w:val="32"/>
          <w:szCs w:val="32"/>
        </w:rPr>
        <w:t>之</w:t>
      </w:r>
      <w:r w:rsidR="00A52462">
        <w:rPr>
          <w:rFonts w:ascii="Times New Roman" w:eastAsia="標楷體" w:hAnsi="Times New Roman" w:cs="Times New Roman" w:hint="eastAsia"/>
          <w:sz w:val="32"/>
          <w:szCs w:val="32"/>
        </w:rPr>
        <w:t>資訊，</w:t>
      </w:r>
      <w:r w:rsidRPr="003F2104">
        <w:rPr>
          <w:rFonts w:ascii="Times New Roman" w:eastAsia="標楷體" w:hAnsi="Times New Roman" w:cs="Times New Roman" w:hint="eastAsia"/>
          <w:sz w:val="32"/>
          <w:szCs w:val="32"/>
        </w:rPr>
        <w:t>包括關於納入合併報表之結構型個體之</w:t>
      </w:r>
      <w:r w:rsidRPr="003F2104">
        <w:rPr>
          <w:rFonts w:ascii="Times New Roman" w:eastAsia="標楷體" w:hAnsi="Times New Roman" w:cs="Times New Roman" w:hint="eastAsia"/>
          <w:sz w:val="32"/>
          <w:szCs w:val="32"/>
        </w:rPr>
        <w:lastRenderedPageBreak/>
        <w:t>揭露。</w:t>
      </w:r>
    </w:p>
    <w:p w:rsidR="003F2104" w:rsidRPr="003F2104" w:rsidRDefault="003F2104" w:rsidP="003F2104">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3F2104">
        <w:rPr>
          <w:rFonts w:ascii="Times New Roman" w:eastAsia="標楷體" w:hAnsi="Times New Roman" w:cs="Times New Roman" w:hint="eastAsia"/>
          <w:sz w:val="32"/>
          <w:szCs w:val="32"/>
        </w:rPr>
        <w:t>M</w:t>
      </w:r>
      <w:r w:rsidR="00E84136">
        <w:rPr>
          <w:rFonts w:ascii="Times New Roman" w:eastAsia="標楷體" w:hAnsi="Times New Roman" w:cs="Times New Roman" w:hint="eastAsia"/>
          <w:sz w:val="32"/>
          <w:szCs w:val="32"/>
        </w:rPr>
        <w:t>因</w:t>
      </w:r>
      <w:r w:rsidR="00E84136" w:rsidRPr="003F2104">
        <w:rPr>
          <w:rFonts w:ascii="Times New Roman" w:eastAsia="標楷體" w:hAnsi="Times New Roman" w:cs="Times New Roman" w:hint="eastAsia"/>
          <w:sz w:val="32"/>
          <w:szCs w:val="32"/>
        </w:rPr>
        <w:t>提供管理服務</w:t>
      </w:r>
      <w:r w:rsidR="00E84136">
        <w:rPr>
          <w:rFonts w:ascii="Times New Roman" w:eastAsia="標楷體" w:hAnsi="Times New Roman" w:cs="Times New Roman" w:hint="eastAsia"/>
          <w:sz w:val="32"/>
          <w:szCs w:val="32"/>
        </w:rPr>
        <w:t>，故</w:t>
      </w:r>
      <w:r w:rsidRPr="003F2104">
        <w:rPr>
          <w:rFonts w:ascii="Times New Roman" w:eastAsia="標楷體" w:hAnsi="Times New Roman" w:cs="Times New Roman" w:hint="eastAsia"/>
          <w:sz w:val="32"/>
          <w:szCs w:val="32"/>
        </w:rPr>
        <w:t>對</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擁有權益。</w:t>
      </w:r>
      <w:r w:rsidRPr="003F2104">
        <w:rPr>
          <w:rFonts w:ascii="Times New Roman" w:eastAsia="標楷體" w:hAnsi="Times New Roman" w:cs="Times New Roman" w:hint="eastAsia"/>
          <w:sz w:val="32"/>
          <w:szCs w:val="32"/>
        </w:rPr>
        <w:t>M</w:t>
      </w:r>
      <w:r w:rsidR="00A04032">
        <w:rPr>
          <w:rFonts w:ascii="Times New Roman" w:eastAsia="標楷體" w:hAnsi="Times New Roman" w:cs="Times New Roman" w:hint="eastAsia"/>
          <w:sz w:val="32"/>
          <w:szCs w:val="32"/>
        </w:rPr>
        <w:t>判定</w:t>
      </w:r>
      <w:r w:rsidR="00A04032" w:rsidRPr="003F2104">
        <w:rPr>
          <w:rFonts w:ascii="Times New Roman" w:eastAsia="標楷體" w:hAnsi="Times New Roman" w:cs="Times New Roman" w:hint="eastAsia"/>
          <w:sz w:val="32"/>
          <w:szCs w:val="32"/>
        </w:rPr>
        <w:t>其對</w:t>
      </w:r>
      <w:r w:rsidR="00A04032" w:rsidRPr="003F2104">
        <w:rPr>
          <w:rFonts w:ascii="Times New Roman" w:eastAsia="標楷體" w:hAnsi="Times New Roman" w:cs="Times New Roman" w:hint="eastAsia"/>
          <w:sz w:val="32"/>
          <w:szCs w:val="32"/>
        </w:rPr>
        <w:t>SE</w:t>
      </w:r>
      <w:r w:rsidR="00A04032">
        <w:rPr>
          <w:rFonts w:ascii="Times New Roman" w:eastAsia="標楷體" w:hAnsi="Times New Roman" w:cs="Times New Roman" w:hint="eastAsia"/>
          <w:sz w:val="32"/>
          <w:szCs w:val="32"/>
        </w:rPr>
        <w:t>之參與</w:t>
      </w:r>
      <w:proofErr w:type="gramStart"/>
      <w:r w:rsidR="00A04032">
        <w:rPr>
          <w:rFonts w:ascii="Times New Roman" w:eastAsia="標楷體" w:hAnsi="Times New Roman" w:cs="Times New Roman" w:hint="eastAsia"/>
          <w:sz w:val="32"/>
          <w:szCs w:val="32"/>
        </w:rPr>
        <w:t>與</w:t>
      </w:r>
      <w:proofErr w:type="gramEnd"/>
      <w:r w:rsidR="00A04032" w:rsidRPr="003F2104">
        <w:rPr>
          <w:rFonts w:ascii="Times New Roman" w:eastAsia="標楷體" w:hAnsi="Times New Roman" w:cs="Times New Roman" w:hint="eastAsia"/>
          <w:sz w:val="32"/>
          <w:szCs w:val="32"/>
        </w:rPr>
        <w:t>SE</w:t>
      </w:r>
      <w:r w:rsidR="00A04032" w:rsidRPr="003F2104">
        <w:rPr>
          <w:rFonts w:ascii="Times New Roman" w:eastAsia="標楷體" w:hAnsi="Times New Roman" w:cs="Times New Roman" w:hint="eastAsia"/>
          <w:sz w:val="32"/>
          <w:szCs w:val="32"/>
        </w:rPr>
        <w:t>之目的</w:t>
      </w:r>
      <w:r w:rsidR="00A04032">
        <w:rPr>
          <w:rFonts w:ascii="Times New Roman" w:eastAsia="標楷體" w:hAnsi="Times New Roman" w:cs="Times New Roman" w:hint="eastAsia"/>
          <w:sz w:val="32"/>
          <w:szCs w:val="32"/>
        </w:rPr>
        <w:t>及</w:t>
      </w:r>
      <w:r w:rsidR="00A04032" w:rsidRPr="003F2104">
        <w:rPr>
          <w:rFonts w:ascii="Times New Roman" w:eastAsia="標楷體" w:hAnsi="Times New Roman" w:cs="Times New Roman" w:hint="eastAsia"/>
          <w:sz w:val="32"/>
          <w:szCs w:val="32"/>
        </w:rPr>
        <w:t>設計</w:t>
      </w:r>
      <w:r w:rsidR="00A04032">
        <w:rPr>
          <w:rFonts w:ascii="Times New Roman" w:eastAsia="標楷體" w:hAnsi="Times New Roman" w:cs="Times New Roman" w:hint="eastAsia"/>
          <w:sz w:val="32"/>
          <w:szCs w:val="32"/>
        </w:rPr>
        <w:t>具密切之關聯性，故適用</w:t>
      </w:r>
      <w:r w:rsidR="00A04032">
        <w:rPr>
          <w:rFonts w:ascii="Times New Roman" w:eastAsia="標楷體" w:hAnsi="Times New Roman" w:cs="Times New Roman" w:hint="eastAsia"/>
          <w:sz w:val="32"/>
          <w:szCs w:val="32"/>
        </w:rPr>
        <w:t xml:space="preserve">IFRS </w:t>
      </w:r>
      <w:r w:rsidRPr="003F2104">
        <w:rPr>
          <w:rFonts w:ascii="Times New Roman" w:eastAsia="標楷體" w:hAnsi="Times New Roman" w:cs="Times New Roman" w:hint="eastAsia"/>
          <w:sz w:val="32"/>
          <w:szCs w:val="32"/>
        </w:rPr>
        <w:t>12</w:t>
      </w:r>
      <w:r w:rsidRPr="003F2104">
        <w:rPr>
          <w:rFonts w:ascii="Times New Roman" w:eastAsia="標楷體" w:hAnsi="Times New Roman" w:cs="Times New Roman" w:hint="eastAsia"/>
          <w:sz w:val="32"/>
          <w:szCs w:val="32"/>
        </w:rPr>
        <w:t>有關</w:t>
      </w:r>
      <w:r w:rsidR="00A04032">
        <w:rPr>
          <w:rFonts w:ascii="Times New Roman" w:eastAsia="標楷體" w:hAnsi="Times New Roman" w:cs="Times New Roman" w:hint="eastAsia"/>
          <w:sz w:val="32"/>
          <w:szCs w:val="32"/>
        </w:rPr>
        <w:t>對未納入合併報表之結構型個體之揭露</w:t>
      </w:r>
      <w:r w:rsidRPr="003F2104">
        <w:rPr>
          <w:rFonts w:ascii="Times New Roman" w:eastAsia="標楷體" w:hAnsi="Times New Roman" w:cs="Times New Roman" w:hint="eastAsia"/>
          <w:sz w:val="32"/>
          <w:szCs w:val="32"/>
        </w:rPr>
        <w:t>。</w:t>
      </w:r>
    </w:p>
    <w:p w:rsidR="003F2104" w:rsidRDefault="003F2104" w:rsidP="003F2104">
      <w:pPr>
        <w:pStyle w:val="a7"/>
        <w:numPr>
          <w:ilvl w:val="0"/>
          <w:numId w:val="24"/>
        </w:numPr>
        <w:spacing w:before="100" w:beforeAutospacing="1" w:after="100" w:afterAutospacing="1" w:line="400" w:lineRule="exact"/>
        <w:ind w:leftChars="0" w:left="1560" w:hanging="426"/>
        <w:rPr>
          <w:rFonts w:ascii="Times New Roman" w:eastAsia="標楷體" w:hAnsi="Times New Roman" w:cs="Times New Roman"/>
          <w:sz w:val="32"/>
          <w:szCs w:val="32"/>
        </w:rPr>
      </w:pPr>
      <w:r w:rsidRPr="003F2104">
        <w:rPr>
          <w:rFonts w:ascii="Times New Roman" w:eastAsia="標楷體" w:hAnsi="Times New Roman" w:cs="Times New Roman" w:hint="eastAsia"/>
          <w:sz w:val="32"/>
          <w:szCs w:val="32"/>
        </w:rPr>
        <w:t>Z</w:t>
      </w:r>
      <w:r w:rsidR="00460011">
        <w:rPr>
          <w:rFonts w:ascii="Times New Roman" w:eastAsia="標楷體" w:hAnsi="Times New Roman" w:cs="Times New Roman" w:hint="eastAsia"/>
          <w:sz w:val="32"/>
          <w:szCs w:val="32"/>
        </w:rPr>
        <w:t>公司</w:t>
      </w:r>
      <w:r w:rsidR="00A04032" w:rsidRPr="003F2104">
        <w:rPr>
          <w:rFonts w:ascii="Times New Roman" w:eastAsia="標楷體" w:hAnsi="Times New Roman" w:cs="Times New Roman" w:hint="eastAsia"/>
          <w:sz w:val="32"/>
          <w:szCs w:val="32"/>
        </w:rPr>
        <w:t>因</w:t>
      </w:r>
      <w:r w:rsidR="00A04032">
        <w:rPr>
          <w:rFonts w:ascii="Times New Roman" w:eastAsia="標楷體" w:hAnsi="Times New Roman" w:cs="Times New Roman" w:hint="eastAsia"/>
          <w:sz w:val="32"/>
          <w:szCs w:val="32"/>
        </w:rPr>
        <w:t>出售</w:t>
      </w:r>
      <w:r w:rsidR="00A04032" w:rsidRPr="003F2104">
        <w:rPr>
          <w:rFonts w:ascii="Times New Roman" w:eastAsia="標楷體" w:hAnsi="Times New Roman" w:cs="Times New Roman" w:hint="eastAsia"/>
          <w:sz w:val="32"/>
          <w:szCs w:val="32"/>
        </w:rPr>
        <w:t>土地予</w:t>
      </w:r>
      <w:r w:rsidR="00A04032" w:rsidRPr="003F2104">
        <w:rPr>
          <w:rFonts w:ascii="Times New Roman" w:eastAsia="標楷體" w:hAnsi="Times New Roman" w:cs="Times New Roman" w:hint="eastAsia"/>
          <w:sz w:val="32"/>
          <w:szCs w:val="32"/>
        </w:rPr>
        <w:t>SE</w:t>
      </w:r>
      <w:r w:rsidR="00A04032" w:rsidRPr="003F2104">
        <w:rPr>
          <w:rFonts w:ascii="Times New Roman" w:eastAsia="標楷體" w:hAnsi="Times New Roman" w:cs="Times New Roman" w:hint="eastAsia"/>
          <w:sz w:val="32"/>
          <w:szCs w:val="32"/>
        </w:rPr>
        <w:t>且尚未</w:t>
      </w:r>
      <w:r w:rsidR="00460011">
        <w:rPr>
          <w:rFonts w:ascii="Times New Roman" w:eastAsia="標楷體" w:hAnsi="Times New Roman" w:cs="Times New Roman" w:hint="eastAsia"/>
          <w:sz w:val="32"/>
          <w:szCs w:val="32"/>
        </w:rPr>
        <w:t>結清</w:t>
      </w:r>
      <w:r w:rsidR="004E6CC0">
        <w:rPr>
          <w:rFonts w:ascii="Times New Roman" w:eastAsia="標楷體" w:hAnsi="Times New Roman" w:cs="Times New Roman" w:hint="eastAsia"/>
          <w:sz w:val="32"/>
          <w:szCs w:val="32"/>
        </w:rPr>
        <w:t>該</w:t>
      </w:r>
      <w:r w:rsidR="00460011">
        <w:rPr>
          <w:rFonts w:ascii="Times New Roman" w:eastAsia="標楷體" w:hAnsi="Times New Roman" w:cs="Times New Roman" w:hint="eastAsia"/>
          <w:sz w:val="32"/>
          <w:szCs w:val="32"/>
        </w:rPr>
        <w:t>價</w:t>
      </w:r>
      <w:r w:rsidR="00A04032" w:rsidRPr="003F2104">
        <w:rPr>
          <w:rFonts w:ascii="Times New Roman" w:eastAsia="標楷體" w:hAnsi="Times New Roman" w:cs="Times New Roman" w:hint="eastAsia"/>
          <w:sz w:val="32"/>
          <w:szCs w:val="32"/>
        </w:rPr>
        <w:t>款</w:t>
      </w:r>
      <w:r w:rsidR="00A04032">
        <w:rPr>
          <w:rFonts w:ascii="Times New Roman" w:eastAsia="標楷體" w:hAnsi="Times New Roman" w:cs="Times New Roman" w:hint="eastAsia"/>
          <w:sz w:val="32"/>
          <w:szCs w:val="32"/>
        </w:rPr>
        <w:t>，故</w:t>
      </w:r>
      <w:r w:rsidRPr="003F2104">
        <w:rPr>
          <w:rFonts w:ascii="Times New Roman" w:eastAsia="標楷體" w:hAnsi="Times New Roman" w:cs="Times New Roman" w:hint="eastAsia"/>
          <w:sz w:val="32"/>
          <w:szCs w:val="32"/>
        </w:rPr>
        <w:t>對</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擁有權益。</w:t>
      </w:r>
      <w:r w:rsidRPr="003F2104">
        <w:rPr>
          <w:rFonts w:ascii="Times New Roman" w:eastAsia="標楷體" w:hAnsi="Times New Roman" w:cs="Times New Roman" w:hint="eastAsia"/>
          <w:sz w:val="32"/>
          <w:szCs w:val="32"/>
        </w:rPr>
        <w:t>Z</w:t>
      </w:r>
      <w:r w:rsidR="00460011">
        <w:rPr>
          <w:rFonts w:ascii="Times New Roman" w:eastAsia="標楷體" w:hAnsi="Times New Roman" w:cs="Times New Roman" w:hint="eastAsia"/>
          <w:sz w:val="32"/>
          <w:szCs w:val="32"/>
        </w:rPr>
        <w:t>公司</w:t>
      </w:r>
      <w:r w:rsidR="00A04032">
        <w:rPr>
          <w:rFonts w:ascii="Times New Roman" w:eastAsia="標楷體" w:hAnsi="Times New Roman" w:cs="Times New Roman" w:hint="eastAsia"/>
          <w:sz w:val="32"/>
          <w:szCs w:val="32"/>
        </w:rPr>
        <w:t>判定</w:t>
      </w:r>
      <w:r w:rsidR="00A04032" w:rsidRPr="003F2104">
        <w:rPr>
          <w:rFonts w:ascii="Times New Roman" w:eastAsia="標楷體" w:hAnsi="Times New Roman" w:cs="Times New Roman" w:hint="eastAsia"/>
          <w:sz w:val="32"/>
          <w:szCs w:val="32"/>
        </w:rPr>
        <w:t>其</w:t>
      </w:r>
      <w:r w:rsidR="00A04032">
        <w:rPr>
          <w:rFonts w:ascii="Times New Roman" w:eastAsia="標楷體" w:hAnsi="Times New Roman" w:cs="Times New Roman" w:hint="eastAsia"/>
          <w:sz w:val="32"/>
          <w:szCs w:val="32"/>
        </w:rPr>
        <w:t>對</w:t>
      </w:r>
      <w:r w:rsidR="00A04032">
        <w:rPr>
          <w:rFonts w:ascii="Times New Roman" w:eastAsia="標楷體" w:hAnsi="Times New Roman" w:cs="Times New Roman" w:hint="eastAsia"/>
          <w:sz w:val="32"/>
          <w:szCs w:val="32"/>
        </w:rPr>
        <w:t>SE</w:t>
      </w:r>
      <w:r w:rsidR="00A04032" w:rsidRPr="003F2104">
        <w:rPr>
          <w:rFonts w:ascii="Times New Roman" w:eastAsia="標楷體" w:hAnsi="Times New Roman" w:cs="Times New Roman" w:hint="eastAsia"/>
          <w:sz w:val="32"/>
          <w:szCs w:val="32"/>
        </w:rPr>
        <w:t>提供設計</w:t>
      </w:r>
      <w:r w:rsidR="00A04032">
        <w:rPr>
          <w:rFonts w:ascii="Times New Roman" w:eastAsia="標楷體" w:hAnsi="Times New Roman" w:cs="Times New Roman" w:hint="eastAsia"/>
          <w:sz w:val="32"/>
          <w:szCs w:val="32"/>
        </w:rPr>
        <w:t>及</w:t>
      </w:r>
      <w:r w:rsidR="00A04032" w:rsidRPr="003F2104">
        <w:rPr>
          <w:rFonts w:ascii="Times New Roman" w:eastAsia="標楷體" w:hAnsi="Times New Roman" w:cs="Times New Roman" w:hint="eastAsia"/>
          <w:sz w:val="32"/>
          <w:szCs w:val="32"/>
        </w:rPr>
        <w:t>建造</w:t>
      </w:r>
      <w:r w:rsidR="00A04032">
        <w:rPr>
          <w:rFonts w:ascii="Times New Roman" w:eastAsia="標楷體" w:hAnsi="Times New Roman" w:cs="Times New Roman" w:hint="eastAsia"/>
          <w:sz w:val="32"/>
          <w:szCs w:val="32"/>
        </w:rPr>
        <w:t>服務係屬</w:t>
      </w:r>
      <w:r w:rsidR="00A04032" w:rsidRPr="003F2104">
        <w:rPr>
          <w:rFonts w:ascii="Times New Roman" w:eastAsia="標楷體" w:hAnsi="Times New Roman" w:cs="Times New Roman" w:hint="eastAsia"/>
          <w:sz w:val="32"/>
          <w:szCs w:val="32"/>
        </w:rPr>
        <w:t>典型供應商</w:t>
      </w:r>
      <w:r w:rsidR="00A04032">
        <w:rPr>
          <w:rFonts w:ascii="Times New Roman" w:eastAsia="標楷體" w:hAnsi="Times New Roman" w:cs="Times New Roman" w:hint="eastAsia"/>
          <w:sz w:val="32"/>
          <w:szCs w:val="32"/>
        </w:rPr>
        <w:t>關係，故無</w:t>
      </w:r>
      <w:r w:rsidR="00A04032" w:rsidRPr="003F2104">
        <w:rPr>
          <w:rFonts w:ascii="Times New Roman" w:eastAsia="標楷體" w:hAnsi="Times New Roman" w:cs="Times New Roman" w:hint="eastAsia"/>
          <w:sz w:val="32"/>
          <w:szCs w:val="32"/>
        </w:rPr>
        <w:t>須揭露</w:t>
      </w:r>
      <w:r w:rsidR="00A04032">
        <w:rPr>
          <w:rFonts w:ascii="Times New Roman" w:eastAsia="標楷體" w:hAnsi="Times New Roman" w:cs="Times New Roman" w:hint="eastAsia"/>
          <w:sz w:val="32"/>
          <w:szCs w:val="32"/>
        </w:rPr>
        <w:t>對</w:t>
      </w:r>
      <w:r w:rsidRPr="003F2104">
        <w:rPr>
          <w:rFonts w:ascii="Times New Roman" w:eastAsia="標楷體" w:hAnsi="Times New Roman" w:cs="Times New Roman" w:hint="eastAsia"/>
          <w:sz w:val="32"/>
          <w:szCs w:val="32"/>
        </w:rPr>
        <w:t>SE</w:t>
      </w:r>
      <w:r w:rsidRPr="003F2104">
        <w:rPr>
          <w:rFonts w:ascii="Times New Roman" w:eastAsia="標楷體" w:hAnsi="Times New Roman" w:cs="Times New Roman" w:hint="eastAsia"/>
          <w:sz w:val="32"/>
          <w:szCs w:val="32"/>
        </w:rPr>
        <w:t>之參與。</w:t>
      </w:r>
    </w:p>
    <w:p w:rsidR="004C7B7B" w:rsidRDefault="004C7B7B" w:rsidP="004C7B7B">
      <w:pPr>
        <w:pStyle w:val="a7"/>
        <w:spacing w:before="100" w:beforeAutospacing="1" w:after="100" w:afterAutospacing="1" w:line="400" w:lineRule="exact"/>
        <w:ind w:leftChars="437" w:left="1049"/>
        <w:rPr>
          <w:rFonts w:ascii="Times New Roman" w:eastAsia="標楷體" w:hAnsi="Times New Roman" w:cs="Times New Roman"/>
          <w:sz w:val="32"/>
          <w:szCs w:val="32"/>
        </w:rPr>
      </w:pPr>
      <w:r>
        <w:rPr>
          <w:rFonts w:ascii="Times New Roman" w:eastAsia="標楷體" w:hAnsi="Times New Roman" w:cs="Times New Roman" w:hint="eastAsia"/>
          <w:sz w:val="32"/>
          <w:szCs w:val="32"/>
          <w:u w:val="single"/>
        </w:rPr>
        <w:t>未納入合併報表之</w:t>
      </w:r>
      <w:r w:rsidRPr="00313EAB">
        <w:rPr>
          <w:rFonts w:ascii="Times New Roman" w:eastAsia="標楷體" w:hAnsi="Times New Roman" w:cs="Times New Roman" w:hint="eastAsia"/>
          <w:sz w:val="32"/>
          <w:szCs w:val="32"/>
          <w:u w:val="single"/>
        </w:rPr>
        <w:t>結構型個體</w:t>
      </w:r>
      <w:r>
        <w:rPr>
          <w:rFonts w:ascii="Times New Roman" w:eastAsia="標楷體" w:hAnsi="Times New Roman" w:cs="Times New Roman" w:hint="eastAsia"/>
          <w:sz w:val="32"/>
          <w:szCs w:val="32"/>
          <w:u w:val="single"/>
        </w:rPr>
        <w:t>之發起</w:t>
      </w:r>
    </w:p>
    <w:p w:rsidR="004C7B7B" w:rsidRDefault="004C7B7B" w:rsidP="004C7B7B">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sidRPr="004C7B7B">
        <w:rPr>
          <w:rFonts w:ascii="Times New Roman" w:eastAsia="標楷體" w:hAnsi="Times New Roman" w:cs="Times New Roman" w:hint="eastAsia"/>
          <w:sz w:val="32"/>
          <w:szCs w:val="32"/>
        </w:rPr>
        <w:t>在辨認企業是否</w:t>
      </w:r>
      <w:r>
        <w:rPr>
          <w:rFonts w:ascii="Times New Roman" w:eastAsia="標楷體" w:hAnsi="Times New Roman" w:cs="Times New Roman" w:hint="eastAsia"/>
          <w:sz w:val="32"/>
          <w:szCs w:val="32"/>
        </w:rPr>
        <w:t>須</w:t>
      </w:r>
      <w:r w:rsidRPr="004C7B7B">
        <w:rPr>
          <w:rFonts w:ascii="Times New Roman" w:eastAsia="標楷體" w:hAnsi="Times New Roman" w:cs="Times New Roman" w:hint="eastAsia"/>
          <w:sz w:val="32"/>
          <w:szCs w:val="32"/>
        </w:rPr>
        <w:t>在特定報導期間提供關於未納入合併報表之結構型個體之發起關係揭露，下列因素對考量可能有幫助。這些因素及相關問題</w:t>
      </w:r>
      <w:r w:rsidR="00097206" w:rsidRPr="004C7B7B">
        <w:rPr>
          <w:rFonts w:ascii="Times New Roman" w:eastAsia="標楷體" w:hAnsi="Times New Roman" w:cs="Times New Roman" w:hint="eastAsia"/>
          <w:sz w:val="32"/>
          <w:szCs w:val="32"/>
        </w:rPr>
        <w:t>之目的</w:t>
      </w:r>
      <w:r w:rsidRPr="004C7B7B">
        <w:rPr>
          <w:rFonts w:ascii="Times New Roman" w:eastAsia="標楷體" w:hAnsi="Times New Roman" w:cs="Times New Roman" w:hint="eastAsia"/>
          <w:sz w:val="32"/>
          <w:szCs w:val="32"/>
        </w:rPr>
        <w:t>，</w:t>
      </w:r>
      <w:r w:rsidR="00097206">
        <w:rPr>
          <w:rFonts w:ascii="Times New Roman" w:eastAsia="標楷體" w:hAnsi="Times New Roman" w:cs="Times New Roman" w:hint="eastAsia"/>
          <w:sz w:val="32"/>
          <w:szCs w:val="32"/>
        </w:rPr>
        <w:t>是為了</w:t>
      </w:r>
      <w:r w:rsidRPr="004C7B7B">
        <w:rPr>
          <w:rFonts w:ascii="Times New Roman" w:eastAsia="標楷體" w:hAnsi="Times New Roman" w:cs="Times New Roman" w:hint="eastAsia"/>
          <w:sz w:val="32"/>
          <w:szCs w:val="32"/>
        </w:rPr>
        <w:t>評估企業與未納入合併報表之結構型個體</w:t>
      </w:r>
      <w:r w:rsidR="00097206">
        <w:rPr>
          <w:rFonts w:ascii="Times New Roman" w:eastAsia="標楷體" w:hAnsi="Times New Roman" w:cs="Times New Roman" w:hint="eastAsia"/>
          <w:sz w:val="32"/>
          <w:szCs w:val="32"/>
        </w:rPr>
        <w:t>之間</w:t>
      </w:r>
      <w:r w:rsidRPr="004C7B7B">
        <w:rPr>
          <w:rFonts w:ascii="Times New Roman" w:eastAsia="標楷體" w:hAnsi="Times New Roman" w:cs="Times New Roman" w:hint="eastAsia"/>
          <w:sz w:val="32"/>
          <w:szCs w:val="32"/>
        </w:rPr>
        <w:t>關係</w:t>
      </w:r>
      <w:r w:rsidR="00097206">
        <w:rPr>
          <w:rFonts w:ascii="Times New Roman" w:eastAsia="標楷體" w:hAnsi="Times New Roman" w:cs="Times New Roman" w:hint="eastAsia"/>
          <w:sz w:val="32"/>
          <w:szCs w:val="32"/>
        </w:rPr>
        <w:t>的密切程</w:t>
      </w:r>
      <w:r w:rsidR="008E1EF0">
        <w:rPr>
          <w:rFonts w:ascii="Times New Roman" w:eastAsia="標楷體" w:hAnsi="Times New Roman" w:cs="Times New Roman" w:hint="eastAsia"/>
          <w:sz w:val="32"/>
          <w:szCs w:val="32"/>
        </w:rPr>
        <w:t>度，以</w:t>
      </w:r>
      <w:r w:rsidR="00097206">
        <w:rPr>
          <w:rFonts w:ascii="Times New Roman" w:eastAsia="標楷體" w:hAnsi="Times New Roman" w:cs="Times New Roman" w:hint="eastAsia"/>
          <w:sz w:val="32"/>
          <w:szCs w:val="32"/>
        </w:rPr>
        <w:t>作為</w:t>
      </w:r>
      <w:r w:rsidRPr="004C7B7B">
        <w:rPr>
          <w:rFonts w:ascii="Times New Roman" w:eastAsia="標楷體" w:hAnsi="Times New Roman" w:cs="Times New Roman" w:hint="eastAsia"/>
          <w:sz w:val="32"/>
          <w:szCs w:val="32"/>
        </w:rPr>
        <w:t>判定發起是否存在及</w:t>
      </w:r>
      <w:r w:rsidR="00097206">
        <w:rPr>
          <w:rFonts w:ascii="Times New Roman" w:eastAsia="標楷體" w:hAnsi="Times New Roman" w:cs="Times New Roman" w:hint="eastAsia"/>
          <w:sz w:val="32"/>
          <w:szCs w:val="32"/>
        </w:rPr>
        <w:t>是否應依</w:t>
      </w:r>
      <w:r w:rsidR="003B1BA1">
        <w:rPr>
          <w:rFonts w:ascii="Times New Roman" w:eastAsia="標楷體" w:hAnsi="Times New Roman" w:cs="Times New Roman" w:hint="eastAsia"/>
          <w:sz w:val="32"/>
          <w:szCs w:val="32"/>
        </w:rPr>
        <w:t>IFRS 12</w:t>
      </w:r>
      <w:r w:rsidRPr="004C7B7B">
        <w:rPr>
          <w:rFonts w:ascii="Times New Roman" w:eastAsia="標楷體" w:hAnsi="Times New Roman" w:cs="Times New Roman" w:hint="eastAsia"/>
          <w:sz w:val="32"/>
          <w:szCs w:val="32"/>
        </w:rPr>
        <w:t>第</w:t>
      </w:r>
      <w:r w:rsidRPr="004C7B7B">
        <w:rPr>
          <w:rFonts w:ascii="Times New Roman" w:eastAsia="標楷體" w:hAnsi="Times New Roman" w:cs="Times New Roman" w:hint="eastAsia"/>
          <w:sz w:val="32"/>
          <w:szCs w:val="32"/>
        </w:rPr>
        <w:t>27</w:t>
      </w:r>
      <w:r w:rsidR="00097206">
        <w:rPr>
          <w:rFonts w:ascii="Times New Roman" w:eastAsia="標楷體" w:hAnsi="Times New Roman" w:cs="Times New Roman" w:hint="eastAsia"/>
          <w:sz w:val="32"/>
          <w:szCs w:val="32"/>
        </w:rPr>
        <w:t>段規定</w:t>
      </w:r>
      <w:r w:rsidRPr="004C7B7B">
        <w:rPr>
          <w:rFonts w:ascii="Times New Roman" w:eastAsia="標楷體" w:hAnsi="Times New Roman" w:cs="Times New Roman" w:hint="eastAsia"/>
          <w:sz w:val="32"/>
          <w:szCs w:val="32"/>
        </w:rPr>
        <w:t>揭露</w:t>
      </w:r>
      <w:r w:rsidR="008E1EF0">
        <w:rPr>
          <w:rFonts w:ascii="Times New Roman" w:eastAsia="標楷體" w:hAnsi="Times New Roman" w:cs="Times New Roman" w:hint="eastAsia"/>
          <w:sz w:val="32"/>
          <w:szCs w:val="32"/>
        </w:rPr>
        <w:t>之方法</w:t>
      </w:r>
      <w:r w:rsidRPr="004C7B7B">
        <w:rPr>
          <w:rFonts w:ascii="Times New Roman" w:eastAsia="標楷體" w:hAnsi="Times New Roman" w:cs="Times New Roman" w:hint="eastAsia"/>
          <w:sz w:val="32"/>
          <w:szCs w:val="32"/>
        </w:rPr>
        <w:t>。</w:t>
      </w:r>
    </w:p>
    <w:tbl>
      <w:tblPr>
        <w:tblStyle w:val="af7"/>
        <w:tblW w:w="0" w:type="auto"/>
        <w:tblInd w:w="1242" w:type="dxa"/>
        <w:tblLook w:val="04A0"/>
      </w:tblPr>
      <w:tblGrid>
        <w:gridCol w:w="7120"/>
      </w:tblGrid>
      <w:tr w:rsidR="004C7B7B" w:rsidRPr="004C7B7B" w:rsidTr="004C7B7B">
        <w:tc>
          <w:tcPr>
            <w:tcW w:w="7120" w:type="dxa"/>
            <w:shd w:val="clear" w:color="auto" w:fill="D9D9D9" w:themeFill="background1" w:themeFillShade="D9"/>
          </w:tcPr>
          <w:p w:rsidR="004C7B7B" w:rsidRPr="004C7B7B" w:rsidRDefault="004C7B7B" w:rsidP="00046887">
            <w:pPr>
              <w:widowControl/>
              <w:spacing w:line="0" w:lineRule="atLeast"/>
              <w:rPr>
                <w:rFonts w:eastAsia="標楷體"/>
                <w:sz w:val="32"/>
                <w:szCs w:val="32"/>
              </w:rPr>
            </w:pPr>
            <w:r w:rsidRPr="004C7B7B">
              <w:rPr>
                <w:rFonts w:eastAsia="標楷體" w:hAnsi="標楷體"/>
                <w:sz w:val="32"/>
                <w:szCs w:val="32"/>
              </w:rPr>
              <w:t>時間之經過</w:t>
            </w:r>
          </w:p>
        </w:tc>
      </w:tr>
      <w:tr w:rsidR="004C7B7B" w:rsidRPr="004C7B7B" w:rsidTr="004C7B7B">
        <w:tc>
          <w:tcPr>
            <w:tcW w:w="7120" w:type="dxa"/>
          </w:tcPr>
          <w:p w:rsidR="004C7B7B" w:rsidRPr="004C7B7B" w:rsidRDefault="008E1EF0" w:rsidP="00046887">
            <w:pPr>
              <w:pStyle w:val="a7"/>
              <w:spacing w:line="0" w:lineRule="atLeast"/>
              <w:ind w:leftChars="15" w:left="36"/>
              <w:rPr>
                <w:rFonts w:eastAsia="標楷體"/>
                <w:sz w:val="32"/>
                <w:szCs w:val="32"/>
              </w:rPr>
            </w:pPr>
            <w:r>
              <w:rPr>
                <w:rFonts w:eastAsia="標楷體" w:hAnsi="標楷體" w:hint="eastAsia"/>
                <w:sz w:val="32"/>
                <w:szCs w:val="32"/>
              </w:rPr>
              <w:t>關係的密切程度</w:t>
            </w:r>
            <w:r w:rsidR="004C7B7B" w:rsidRPr="004C7B7B">
              <w:rPr>
                <w:rFonts w:eastAsia="標楷體" w:hAnsi="標楷體"/>
                <w:sz w:val="32"/>
                <w:szCs w:val="32"/>
              </w:rPr>
              <w:t>會隨著時間之經過而減少。</w:t>
            </w:r>
            <w:r w:rsidR="004C7B7B" w:rsidRPr="0004572D">
              <w:rPr>
                <w:rFonts w:eastAsia="標楷體" w:hAnsi="標楷體"/>
                <w:sz w:val="32"/>
                <w:szCs w:val="32"/>
              </w:rPr>
              <w:t>自</w:t>
            </w:r>
            <w:r w:rsidRPr="0004572D">
              <w:rPr>
                <w:rFonts w:eastAsia="標楷體" w:hAnsi="標楷體" w:hint="eastAsia"/>
                <w:sz w:val="32"/>
                <w:szCs w:val="32"/>
              </w:rPr>
              <w:t>從企業</w:t>
            </w:r>
            <w:r w:rsidR="004C7B7B" w:rsidRPr="0004572D">
              <w:rPr>
                <w:rFonts w:eastAsia="標楷體" w:hAnsi="標楷體"/>
                <w:sz w:val="32"/>
                <w:szCs w:val="32"/>
              </w:rPr>
              <w:t>與未納入合併報表之結構型個體</w:t>
            </w:r>
            <w:r w:rsidR="00770461" w:rsidRPr="0004572D">
              <w:rPr>
                <w:rFonts w:eastAsia="標楷體" w:hAnsi="標楷體" w:hint="eastAsia"/>
                <w:sz w:val="32"/>
                <w:szCs w:val="32"/>
              </w:rPr>
              <w:t>發生最後一筆</w:t>
            </w:r>
            <w:r w:rsidR="004C7B7B" w:rsidRPr="0004572D">
              <w:rPr>
                <w:rFonts w:eastAsia="標楷體" w:hAnsi="標楷體"/>
                <w:sz w:val="32"/>
                <w:szCs w:val="32"/>
              </w:rPr>
              <w:t>交易或</w:t>
            </w:r>
            <w:r w:rsidR="008169DC" w:rsidRPr="0004572D">
              <w:rPr>
                <w:rFonts w:eastAsia="標楷體" w:hAnsi="標楷體" w:hint="eastAsia"/>
                <w:sz w:val="32"/>
                <w:szCs w:val="32"/>
              </w:rPr>
              <w:t>具關係</w:t>
            </w:r>
            <w:r w:rsidR="00770461" w:rsidRPr="0004572D">
              <w:rPr>
                <w:rFonts w:eastAsia="標楷體" w:hAnsi="標楷體" w:hint="eastAsia"/>
                <w:sz w:val="32"/>
                <w:szCs w:val="32"/>
              </w:rPr>
              <w:t>，已</w:t>
            </w:r>
            <w:r w:rsidRPr="0004572D">
              <w:rPr>
                <w:rFonts w:eastAsia="標楷體" w:hAnsi="標楷體" w:hint="eastAsia"/>
                <w:sz w:val="32"/>
                <w:szCs w:val="32"/>
              </w:rPr>
              <w:t>經過</w:t>
            </w:r>
            <w:r w:rsidRPr="0004572D">
              <w:rPr>
                <w:rFonts w:eastAsia="標楷體" w:hAnsi="標楷體"/>
                <w:sz w:val="32"/>
                <w:szCs w:val="32"/>
              </w:rPr>
              <w:t>多長時間</w:t>
            </w:r>
            <w:r w:rsidR="004C7B7B" w:rsidRPr="0004572D">
              <w:rPr>
                <w:rFonts w:eastAsia="標楷體" w:hAnsi="標楷體"/>
                <w:sz w:val="32"/>
                <w:szCs w:val="32"/>
              </w:rPr>
              <w:t>？</w:t>
            </w:r>
          </w:p>
        </w:tc>
      </w:tr>
      <w:tr w:rsidR="004C7B7B" w:rsidRPr="004C7B7B" w:rsidTr="004C7B7B">
        <w:tc>
          <w:tcPr>
            <w:tcW w:w="7120" w:type="dxa"/>
            <w:shd w:val="clear" w:color="auto" w:fill="D9D9D9" w:themeFill="background1" w:themeFillShade="D9"/>
          </w:tcPr>
          <w:p w:rsidR="004C7B7B" w:rsidRPr="004C7B7B" w:rsidRDefault="004C7B7B" w:rsidP="00046887">
            <w:pPr>
              <w:widowControl/>
              <w:spacing w:line="0" w:lineRule="atLeast"/>
              <w:rPr>
                <w:rFonts w:eastAsia="標楷體"/>
                <w:sz w:val="32"/>
                <w:szCs w:val="32"/>
              </w:rPr>
            </w:pPr>
            <w:r w:rsidRPr="004C7B7B">
              <w:rPr>
                <w:rFonts w:eastAsia="標楷體" w:hAnsi="標楷體"/>
                <w:sz w:val="32"/>
                <w:szCs w:val="32"/>
              </w:rPr>
              <w:t>目的</w:t>
            </w:r>
            <w:r w:rsidRPr="004C7B7B">
              <w:rPr>
                <w:rFonts w:eastAsia="標楷體"/>
                <w:sz w:val="32"/>
                <w:szCs w:val="32"/>
              </w:rPr>
              <w:t>/</w:t>
            </w:r>
            <w:r w:rsidRPr="004C7B7B">
              <w:rPr>
                <w:rFonts w:eastAsia="標楷體" w:hAnsi="標楷體"/>
                <w:sz w:val="32"/>
                <w:szCs w:val="32"/>
              </w:rPr>
              <w:t>設計</w:t>
            </w:r>
          </w:p>
        </w:tc>
      </w:tr>
      <w:tr w:rsidR="004C7B7B" w:rsidRPr="004C7B7B" w:rsidTr="004C7B7B">
        <w:tc>
          <w:tcPr>
            <w:tcW w:w="7120" w:type="dxa"/>
          </w:tcPr>
          <w:p w:rsidR="004C7B7B" w:rsidRPr="004C7B7B" w:rsidRDefault="004C7B7B" w:rsidP="00046887">
            <w:pPr>
              <w:pStyle w:val="a7"/>
              <w:spacing w:line="0" w:lineRule="atLeast"/>
              <w:ind w:leftChars="15" w:left="36"/>
              <w:rPr>
                <w:rFonts w:eastAsia="標楷體"/>
                <w:sz w:val="32"/>
                <w:szCs w:val="32"/>
              </w:rPr>
            </w:pPr>
            <w:r w:rsidRPr="004C7B7B">
              <w:rPr>
                <w:rFonts w:eastAsia="標楷體" w:hAnsi="標楷體"/>
                <w:sz w:val="32"/>
                <w:szCs w:val="32"/>
              </w:rPr>
              <w:t>報導企業是否參與建立</w:t>
            </w:r>
            <w:r w:rsidRPr="004C7B7B">
              <w:rPr>
                <w:rFonts w:eastAsia="標楷體"/>
                <w:sz w:val="32"/>
                <w:szCs w:val="32"/>
              </w:rPr>
              <w:t>/</w:t>
            </w:r>
            <w:r w:rsidRPr="004C7B7B">
              <w:rPr>
                <w:rFonts w:eastAsia="標楷體" w:hAnsi="標楷體"/>
                <w:sz w:val="32"/>
                <w:szCs w:val="32"/>
              </w:rPr>
              <w:t>設計？</w:t>
            </w:r>
          </w:p>
          <w:p w:rsidR="004C7B7B" w:rsidRPr="004C7B7B" w:rsidRDefault="004C7B7B" w:rsidP="00046887">
            <w:pPr>
              <w:pStyle w:val="a7"/>
              <w:spacing w:line="0" w:lineRule="atLeast"/>
              <w:ind w:leftChars="15" w:left="36"/>
              <w:rPr>
                <w:rFonts w:eastAsia="標楷體"/>
                <w:sz w:val="32"/>
                <w:szCs w:val="32"/>
              </w:rPr>
            </w:pPr>
            <w:r w:rsidRPr="004C7B7B">
              <w:rPr>
                <w:rFonts w:eastAsia="標楷體" w:hAnsi="標楷體"/>
                <w:sz w:val="32"/>
                <w:szCs w:val="32"/>
              </w:rPr>
              <w:t>結構型個體</w:t>
            </w:r>
            <w:r w:rsidR="008E1EF0">
              <w:rPr>
                <w:rFonts w:eastAsia="標楷體" w:hAnsi="標楷體" w:hint="eastAsia"/>
                <w:sz w:val="32"/>
                <w:szCs w:val="32"/>
              </w:rPr>
              <w:t>之</w:t>
            </w:r>
            <w:r w:rsidRPr="004C7B7B">
              <w:rPr>
                <w:rFonts w:eastAsia="標楷體" w:hAnsi="標楷體"/>
                <w:sz w:val="32"/>
                <w:szCs w:val="32"/>
              </w:rPr>
              <w:t>建立</w:t>
            </w:r>
            <w:r w:rsidR="008E1EF0" w:rsidRPr="004C7B7B">
              <w:rPr>
                <w:rFonts w:eastAsia="標楷體" w:hAnsi="標楷體"/>
                <w:sz w:val="32"/>
                <w:szCs w:val="32"/>
              </w:rPr>
              <w:t>是否</w:t>
            </w:r>
            <w:r w:rsidRPr="004C7B7B">
              <w:rPr>
                <w:rFonts w:eastAsia="標楷體" w:hAnsi="標楷體"/>
                <w:sz w:val="32"/>
                <w:szCs w:val="32"/>
              </w:rPr>
              <w:t>提供報導企業某些保護</w:t>
            </w:r>
            <w:r w:rsidRPr="007A6394">
              <w:rPr>
                <w:rFonts w:eastAsia="標楷體" w:hAnsi="標楷體"/>
                <w:sz w:val="32"/>
                <w:szCs w:val="32"/>
              </w:rPr>
              <w:t>形式</w:t>
            </w:r>
            <w:r w:rsidRPr="004C7B7B">
              <w:rPr>
                <w:rFonts w:eastAsia="標楷體" w:hAnsi="標楷體"/>
                <w:sz w:val="32"/>
                <w:szCs w:val="32"/>
              </w:rPr>
              <w:t>？</w:t>
            </w:r>
          </w:p>
          <w:p w:rsidR="004C7B7B" w:rsidRPr="004C7B7B" w:rsidRDefault="004C7B7B" w:rsidP="00046887">
            <w:pPr>
              <w:pStyle w:val="a7"/>
              <w:spacing w:line="0" w:lineRule="atLeast"/>
              <w:ind w:leftChars="15" w:left="36"/>
              <w:rPr>
                <w:rFonts w:eastAsia="標楷體"/>
                <w:sz w:val="32"/>
                <w:szCs w:val="32"/>
              </w:rPr>
            </w:pPr>
            <w:r w:rsidRPr="004C7B7B">
              <w:rPr>
                <w:rFonts w:eastAsia="標楷體" w:hAnsi="標楷體"/>
                <w:sz w:val="32"/>
                <w:szCs w:val="32"/>
              </w:rPr>
              <w:t>報導企業有無繼續以任何方式依賴未納入合併報表之結構型個體？</w:t>
            </w:r>
          </w:p>
          <w:p w:rsidR="00046887" w:rsidRPr="00046887" w:rsidRDefault="00046887" w:rsidP="00046887">
            <w:pPr>
              <w:pStyle w:val="a7"/>
              <w:spacing w:line="0" w:lineRule="atLeast"/>
              <w:ind w:leftChars="15" w:left="36"/>
              <w:rPr>
                <w:rFonts w:eastAsia="標楷體" w:hAnsi="標楷體"/>
                <w:sz w:val="32"/>
                <w:szCs w:val="32"/>
              </w:rPr>
            </w:pPr>
            <w:r w:rsidRPr="00046887">
              <w:rPr>
                <w:rFonts w:eastAsia="標楷體" w:hAnsi="標楷體" w:hint="eastAsia"/>
                <w:sz w:val="32"/>
                <w:szCs w:val="32"/>
              </w:rPr>
              <w:t>有無任何抵押資產為擔保借入資金，例如將資產放置於未納入合併報表之結構型個體，以改善報導企業之資金狀況？</w:t>
            </w:r>
          </w:p>
          <w:p w:rsidR="004C7B7B" w:rsidRPr="004C7B7B" w:rsidRDefault="004C7B7B" w:rsidP="00046887">
            <w:pPr>
              <w:pStyle w:val="a7"/>
              <w:spacing w:line="0" w:lineRule="atLeast"/>
              <w:ind w:leftChars="15" w:left="36"/>
              <w:rPr>
                <w:rFonts w:eastAsia="標楷體"/>
                <w:sz w:val="32"/>
                <w:szCs w:val="32"/>
              </w:rPr>
            </w:pPr>
            <w:r w:rsidRPr="004C7B7B">
              <w:rPr>
                <w:rFonts w:eastAsia="標楷體" w:hAnsi="標楷體"/>
                <w:sz w:val="32"/>
                <w:szCs w:val="32"/>
              </w:rPr>
              <w:t>結構型個體取得之資產是否來自報導企業或第三方？</w:t>
            </w:r>
          </w:p>
          <w:p w:rsidR="004C7B7B" w:rsidRPr="004C7B7B" w:rsidRDefault="004C7B7B" w:rsidP="00046887">
            <w:pPr>
              <w:pStyle w:val="a7"/>
              <w:spacing w:line="0" w:lineRule="atLeast"/>
              <w:ind w:leftChars="15" w:left="36"/>
              <w:rPr>
                <w:rFonts w:eastAsia="標楷體"/>
                <w:sz w:val="32"/>
                <w:szCs w:val="32"/>
              </w:rPr>
            </w:pPr>
            <w:r w:rsidRPr="004C7B7B">
              <w:rPr>
                <w:rFonts w:eastAsia="標楷體" w:hAnsi="標楷體"/>
                <w:sz w:val="32"/>
                <w:szCs w:val="32"/>
              </w:rPr>
              <w:t>報導企業</w:t>
            </w:r>
            <w:proofErr w:type="gramStart"/>
            <w:r w:rsidRPr="004C7B7B">
              <w:rPr>
                <w:rFonts w:eastAsia="標楷體" w:hAnsi="標楷體"/>
                <w:sz w:val="32"/>
                <w:szCs w:val="32"/>
              </w:rPr>
              <w:t>有無未納入</w:t>
            </w:r>
            <w:proofErr w:type="gramEnd"/>
            <w:r w:rsidRPr="004C7B7B">
              <w:rPr>
                <w:rFonts w:eastAsia="標楷體" w:hAnsi="標楷體"/>
                <w:sz w:val="32"/>
                <w:szCs w:val="32"/>
              </w:rPr>
              <w:t>合併報表之結構型個體之</w:t>
            </w:r>
            <w:r w:rsidR="008169DC">
              <w:rPr>
                <w:rFonts w:eastAsia="標楷體" w:hAnsi="標楷體" w:hint="eastAsia"/>
                <w:sz w:val="32"/>
                <w:szCs w:val="32"/>
              </w:rPr>
              <w:t>治</w:t>
            </w:r>
            <w:r w:rsidR="008169DC">
              <w:rPr>
                <w:rFonts w:eastAsia="標楷體" w:hAnsi="標楷體" w:hint="eastAsia"/>
                <w:sz w:val="32"/>
                <w:szCs w:val="32"/>
              </w:rPr>
              <w:lastRenderedPageBreak/>
              <w:t>理單位</w:t>
            </w:r>
            <w:r w:rsidRPr="004C7B7B">
              <w:rPr>
                <w:rFonts w:eastAsia="標楷體" w:hAnsi="標楷體"/>
                <w:sz w:val="32"/>
                <w:szCs w:val="32"/>
              </w:rPr>
              <w:t>之代表？</w:t>
            </w:r>
          </w:p>
        </w:tc>
      </w:tr>
      <w:tr w:rsidR="004C7B7B" w:rsidRPr="004C7B7B" w:rsidTr="004C7B7B">
        <w:tc>
          <w:tcPr>
            <w:tcW w:w="7120" w:type="dxa"/>
            <w:shd w:val="clear" w:color="auto" w:fill="D9D9D9" w:themeFill="background1" w:themeFillShade="D9"/>
          </w:tcPr>
          <w:p w:rsidR="004C7B7B" w:rsidRPr="004C7B7B" w:rsidRDefault="004C7B7B" w:rsidP="00046887">
            <w:pPr>
              <w:widowControl/>
              <w:spacing w:line="0" w:lineRule="atLeast"/>
              <w:rPr>
                <w:rFonts w:eastAsia="標楷體"/>
                <w:sz w:val="32"/>
                <w:szCs w:val="32"/>
              </w:rPr>
            </w:pPr>
            <w:r w:rsidRPr="004C7B7B">
              <w:rPr>
                <w:rFonts w:eastAsia="標楷體" w:hAnsi="標楷體"/>
                <w:sz w:val="32"/>
                <w:szCs w:val="32"/>
              </w:rPr>
              <w:lastRenderedPageBreak/>
              <w:t>其他參與</w:t>
            </w:r>
          </w:p>
        </w:tc>
      </w:tr>
      <w:tr w:rsidR="004C7B7B" w:rsidRPr="004C7B7B" w:rsidTr="004C7B7B">
        <w:tc>
          <w:tcPr>
            <w:tcW w:w="7120" w:type="dxa"/>
          </w:tcPr>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報導企業與未納入合併報表之結構型個體有何種程度之參與？</w:t>
            </w:r>
          </w:p>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該參與是否持續？</w:t>
            </w:r>
          </w:p>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未納入合併報表之結構型個體是否參與報導企業之新產品之發展與</w:t>
            </w:r>
            <w:r w:rsidR="0098723A">
              <w:rPr>
                <w:rFonts w:eastAsia="標楷體" w:hAnsi="標楷體" w:hint="eastAsia"/>
                <w:sz w:val="32"/>
                <w:szCs w:val="32"/>
              </w:rPr>
              <w:t>導入</w:t>
            </w:r>
            <w:r w:rsidRPr="0004572D">
              <w:rPr>
                <w:rFonts w:eastAsia="標楷體" w:hAnsi="標楷體"/>
                <w:sz w:val="32"/>
                <w:szCs w:val="32"/>
              </w:rPr>
              <w:t>？</w:t>
            </w:r>
          </w:p>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結構型個體</w:t>
            </w:r>
            <w:r w:rsidR="0015259C" w:rsidRPr="0004572D">
              <w:rPr>
                <w:rFonts w:eastAsia="標楷體" w:hAnsi="標楷體" w:hint="eastAsia"/>
                <w:sz w:val="32"/>
                <w:szCs w:val="32"/>
              </w:rPr>
              <w:t>作為</w:t>
            </w:r>
            <w:r w:rsidRPr="0004572D">
              <w:rPr>
                <w:rFonts w:eastAsia="標楷體" w:hAnsi="標楷體"/>
                <w:sz w:val="32"/>
                <w:szCs w:val="32"/>
              </w:rPr>
              <w:t>報導企業</w:t>
            </w:r>
            <w:r w:rsidR="004E7C41" w:rsidRPr="0004572D">
              <w:rPr>
                <w:rFonts w:eastAsia="標楷體" w:hAnsi="標楷體" w:hint="eastAsia"/>
                <w:sz w:val="32"/>
                <w:szCs w:val="32"/>
              </w:rPr>
              <w:t>之</w:t>
            </w:r>
            <w:r w:rsidR="0015259C" w:rsidRPr="0004572D">
              <w:rPr>
                <w:rFonts w:eastAsia="標楷體" w:hAnsi="標楷體" w:hint="eastAsia"/>
                <w:sz w:val="32"/>
                <w:szCs w:val="32"/>
              </w:rPr>
              <w:t>延伸</w:t>
            </w:r>
            <w:r w:rsidR="00254875" w:rsidRPr="0004572D">
              <w:rPr>
                <w:rFonts w:eastAsia="標楷體" w:hAnsi="標楷體" w:hint="eastAsia"/>
                <w:sz w:val="32"/>
                <w:szCs w:val="32"/>
              </w:rPr>
              <w:t>之</w:t>
            </w:r>
            <w:r w:rsidRPr="0004572D">
              <w:rPr>
                <w:rFonts w:eastAsia="標楷體" w:hAnsi="標楷體"/>
                <w:sz w:val="32"/>
                <w:szCs w:val="32"/>
              </w:rPr>
              <w:t>程度？</w:t>
            </w:r>
          </w:p>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有無任何潛在之未來義務或損失是產生於過去或現在之參與？</w:t>
            </w:r>
          </w:p>
        </w:tc>
      </w:tr>
      <w:tr w:rsidR="004C7B7B" w:rsidRPr="004C7B7B" w:rsidTr="004C7B7B">
        <w:tc>
          <w:tcPr>
            <w:tcW w:w="7120" w:type="dxa"/>
            <w:shd w:val="clear" w:color="auto" w:fill="D9D9D9" w:themeFill="background1" w:themeFillShade="D9"/>
          </w:tcPr>
          <w:p w:rsidR="004C7B7B" w:rsidRPr="004C7B7B" w:rsidRDefault="004C7B7B" w:rsidP="00046887">
            <w:pPr>
              <w:widowControl/>
              <w:spacing w:line="0" w:lineRule="atLeast"/>
              <w:rPr>
                <w:rFonts w:eastAsia="標楷體"/>
                <w:sz w:val="32"/>
                <w:szCs w:val="32"/>
              </w:rPr>
            </w:pPr>
            <w:r w:rsidRPr="004C7B7B">
              <w:rPr>
                <w:rFonts w:eastAsia="標楷體" w:hAnsi="標楷體"/>
                <w:sz w:val="32"/>
                <w:szCs w:val="32"/>
              </w:rPr>
              <w:t>商標</w:t>
            </w:r>
            <w:r w:rsidRPr="004C7B7B">
              <w:rPr>
                <w:rFonts w:eastAsia="標楷體"/>
                <w:sz w:val="32"/>
                <w:szCs w:val="32"/>
              </w:rPr>
              <w:t>/</w:t>
            </w:r>
            <w:r w:rsidR="0098723A">
              <w:rPr>
                <w:rFonts w:eastAsia="標楷體" w:hAnsi="標楷體" w:hint="eastAsia"/>
                <w:sz w:val="32"/>
                <w:szCs w:val="32"/>
              </w:rPr>
              <w:t>信</w:t>
            </w:r>
            <w:r w:rsidRPr="004C7B7B">
              <w:rPr>
                <w:rFonts w:eastAsia="標楷體" w:hAnsi="標楷體"/>
                <w:sz w:val="32"/>
                <w:szCs w:val="32"/>
              </w:rPr>
              <w:t>譽</w:t>
            </w:r>
            <w:r w:rsidR="0098723A">
              <w:rPr>
                <w:rFonts w:eastAsia="標楷體" w:hAnsi="標楷體" w:hint="eastAsia"/>
                <w:sz w:val="32"/>
                <w:szCs w:val="32"/>
              </w:rPr>
              <w:t>連結度</w:t>
            </w:r>
          </w:p>
        </w:tc>
      </w:tr>
      <w:tr w:rsidR="004C7B7B" w:rsidRPr="004C7B7B" w:rsidTr="004C7B7B">
        <w:tc>
          <w:tcPr>
            <w:tcW w:w="7120" w:type="dxa"/>
          </w:tcPr>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報導企業之</w:t>
            </w:r>
            <w:r w:rsidR="009607F6" w:rsidRPr="0004572D">
              <w:rPr>
                <w:rFonts w:eastAsia="標楷體" w:hAnsi="標楷體" w:hint="eastAsia"/>
                <w:sz w:val="32"/>
                <w:szCs w:val="32"/>
              </w:rPr>
              <w:t>品牌</w:t>
            </w:r>
            <w:r w:rsidRPr="0004572D">
              <w:rPr>
                <w:rFonts w:eastAsia="標楷體" w:hAnsi="標楷體"/>
                <w:sz w:val="32"/>
                <w:szCs w:val="32"/>
              </w:rPr>
              <w:t>與未納入合併報表之結構型個體之關聯程度？</w:t>
            </w:r>
          </w:p>
          <w:p w:rsidR="004C7B7B" w:rsidRPr="0004572D" w:rsidRDefault="004C7B7B" w:rsidP="00046887">
            <w:pPr>
              <w:pStyle w:val="a7"/>
              <w:spacing w:line="0" w:lineRule="atLeast"/>
              <w:ind w:leftChars="15" w:left="36"/>
              <w:rPr>
                <w:rFonts w:eastAsia="標楷體"/>
                <w:sz w:val="32"/>
                <w:szCs w:val="32"/>
              </w:rPr>
            </w:pPr>
            <w:r w:rsidRPr="0004572D">
              <w:rPr>
                <w:rFonts w:eastAsia="標楷體" w:hAnsi="標楷體"/>
                <w:sz w:val="32"/>
                <w:szCs w:val="32"/>
              </w:rPr>
              <w:t>未納</w:t>
            </w:r>
            <w:r w:rsidR="00AC23D4" w:rsidRPr="0004572D">
              <w:rPr>
                <w:rFonts w:eastAsia="標楷體" w:hAnsi="標楷體" w:hint="eastAsia"/>
                <w:sz w:val="32"/>
                <w:szCs w:val="32"/>
              </w:rPr>
              <w:t>入</w:t>
            </w:r>
            <w:r w:rsidRPr="0004572D">
              <w:rPr>
                <w:rFonts w:eastAsia="標楷體" w:hAnsi="標楷體"/>
                <w:sz w:val="32"/>
                <w:szCs w:val="32"/>
              </w:rPr>
              <w:t>合併報表之結構型個體</w:t>
            </w:r>
            <w:r w:rsidR="00070FDE" w:rsidRPr="0004572D">
              <w:rPr>
                <w:rFonts w:eastAsia="標楷體" w:hAnsi="標楷體" w:hint="eastAsia"/>
                <w:sz w:val="32"/>
                <w:szCs w:val="32"/>
              </w:rPr>
              <w:t>若</w:t>
            </w:r>
            <w:r w:rsidRPr="0004572D">
              <w:rPr>
                <w:rFonts w:eastAsia="標楷體" w:hAnsi="標楷體"/>
                <w:sz w:val="32"/>
                <w:szCs w:val="32"/>
              </w:rPr>
              <w:t>面臨</w:t>
            </w:r>
            <w:r w:rsidR="00EC1B68" w:rsidRPr="0004572D">
              <w:rPr>
                <w:rFonts w:eastAsia="標楷體" w:hAnsi="標楷體"/>
                <w:sz w:val="32"/>
                <w:szCs w:val="32"/>
              </w:rPr>
              <w:t>營運或財務</w:t>
            </w:r>
            <w:r w:rsidR="00EC1B68" w:rsidRPr="0004572D">
              <w:rPr>
                <w:rFonts w:eastAsia="標楷體" w:hAnsi="標楷體" w:hint="eastAsia"/>
                <w:sz w:val="32"/>
                <w:szCs w:val="32"/>
              </w:rPr>
              <w:t>上</w:t>
            </w:r>
            <w:r w:rsidR="00070FDE" w:rsidRPr="0004572D">
              <w:rPr>
                <w:rFonts w:eastAsia="標楷體" w:hAnsi="標楷體" w:hint="eastAsia"/>
                <w:sz w:val="32"/>
                <w:szCs w:val="32"/>
              </w:rPr>
              <w:t>之</w:t>
            </w:r>
            <w:r w:rsidRPr="0004572D">
              <w:rPr>
                <w:rFonts w:eastAsia="標楷體" w:hAnsi="標楷體"/>
                <w:sz w:val="32"/>
                <w:szCs w:val="32"/>
              </w:rPr>
              <w:t>困難，則有多少可能將</w:t>
            </w:r>
            <w:r w:rsidR="001528D7" w:rsidRPr="0004572D">
              <w:rPr>
                <w:rFonts w:eastAsia="標楷體" w:hAnsi="標楷體" w:hint="eastAsia"/>
                <w:sz w:val="32"/>
                <w:szCs w:val="32"/>
              </w:rPr>
              <w:t>造成</w:t>
            </w:r>
            <w:r w:rsidRPr="0004572D">
              <w:rPr>
                <w:rFonts w:eastAsia="標楷體" w:hAnsi="標楷體"/>
                <w:sz w:val="32"/>
                <w:szCs w:val="32"/>
              </w:rPr>
              <w:t>發起個體</w:t>
            </w:r>
            <w:r w:rsidR="001528D7" w:rsidRPr="0004572D">
              <w:rPr>
                <w:rFonts w:eastAsia="標楷體" w:hAnsi="標楷體" w:hint="eastAsia"/>
                <w:sz w:val="32"/>
                <w:szCs w:val="32"/>
              </w:rPr>
              <w:t>之</w:t>
            </w:r>
            <w:r w:rsidR="00AC23D4" w:rsidRPr="0004572D">
              <w:rPr>
                <w:rFonts w:eastAsia="標楷體" w:hAnsi="標楷體" w:hint="eastAsia"/>
                <w:sz w:val="32"/>
                <w:szCs w:val="32"/>
              </w:rPr>
              <w:t>品牌</w:t>
            </w:r>
            <w:r w:rsidRPr="0004572D">
              <w:rPr>
                <w:rFonts w:eastAsia="標楷體" w:hAnsi="標楷體"/>
                <w:sz w:val="32"/>
                <w:szCs w:val="32"/>
              </w:rPr>
              <w:t>或</w:t>
            </w:r>
            <w:r w:rsidR="006E767F" w:rsidRPr="0004572D">
              <w:rPr>
                <w:rFonts w:eastAsia="標楷體" w:hAnsi="標楷體" w:hint="eastAsia"/>
                <w:sz w:val="32"/>
                <w:szCs w:val="32"/>
              </w:rPr>
              <w:t>信</w:t>
            </w:r>
            <w:r w:rsidRPr="0004572D">
              <w:rPr>
                <w:rFonts w:eastAsia="標楷體" w:hAnsi="標楷體"/>
                <w:sz w:val="32"/>
                <w:szCs w:val="32"/>
              </w:rPr>
              <w:t>譽</w:t>
            </w:r>
            <w:r w:rsidR="001528D7" w:rsidRPr="0004572D">
              <w:rPr>
                <w:rFonts w:eastAsia="標楷體" w:hAnsi="標楷體" w:hint="eastAsia"/>
                <w:sz w:val="32"/>
                <w:szCs w:val="32"/>
              </w:rPr>
              <w:t>發生損</w:t>
            </w:r>
            <w:r w:rsidRPr="0004572D">
              <w:rPr>
                <w:rFonts w:eastAsia="標楷體" w:hAnsi="標楷體"/>
                <w:sz w:val="32"/>
                <w:szCs w:val="32"/>
              </w:rPr>
              <w:t>害，</w:t>
            </w:r>
            <w:r w:rsidR="00EC1B68" w:rsidRPr="0004572D">
              <w:rPr>
                <w:rFonts w:eastAsia="標楷體" w:hAnsi="標楷體" w:hint="eastAsia"/>
                <w:sz w:val="32"/>
                <w:szCs w:val="32"/>
              </w:rPr>
              <w:t>而</w:t>
            </w:r>
            <w:r w:rsidR="001528D7" w:rsidRPr="0004572D">
              <w:rPr>
                <w:rFonts w:eastAsia="標楷體" w:hAnsi="標楷體" w:hint="eastAsia"/>
                <w:sz w:val="32"/>
                <w:szCs w:val="32"/>
              </w:rPr>
              <w:t>導</w:t>
            </w:r>
            <w:r w:rsidRPr="0004572D">
              <w:rPr>
                <w:rFonts w:eastAsia="標楷體" w:hAnsi="標楷體"/>
                <w:sz w:val="32"/>
                <w:szCs w:val="32"/>
              </w:rPr>
              <w:t>致報導企業會採取行動以減少該風險？</w:t>
            </w:r>
          </w:p>
        </w:tc>
      </w:tr>
      <w:tr w:rsidR="004C7B7B" w:rsidRPr="004C7B7B" w:rsidTr="004C7B7B">
        <w:tc>
          <w:tcPr>
            <w:tcW w:w="7120" w:type="dxa"/>
            <w:shd w:val="clear" w:color="auto" w:fill="D9D9D9" w:themeFill="background1" w:themeFillShade="D9"/>
          </w:tcPr>
          <w:p w:rsidR="004C7B7B" w:rsidRPr="004C7B7B" w:rsidRDefault="004C7B7B" w:rsidP="00046887">
            <w:pPr>
              <w:widowControl/>
              <w:spacing w:line="0" w:lineRule="atLeast"/>
              <w:rPr>
                <w:rFonts w:eastAsia="標楷體"/>
                <w:sz w:val="32"/>
                <w:szCs w:val="32"/>
              </w:rPr>
            </w:pPr>
            <w:r w:rsidRPr="004C7B7B">
              <w:rPr>
                <w:rFonts w:eastAsia="標楷體" w:hAnsi="標楷體"/>
                <w:sz w:val="32"/>
                <w:szCs w:val="32"/>
              </w:rPr>
              <w:t>法律</w:t>
            </w:r>
            <w:r w:rsidR="0098723A">
              <w:rPr>
                <w:rFonts w:eastAsia="標楷體" w:hAnsi="標楷體" w:hint="eastAsia"/>
                <w:sz w:val="32"/>
                <w:szCs w:val="32"/>
              </w:rPr>
              <w:t>連結度</w:t>
            </w:r>
            <w:r w:rsidRPr="004C7B7B">
              <w:rPr>
                <w:rFonts w:eastAsia="標楷體"/>
                <w:sz w:val="32"/>
                <w:szCs w:val="32"/>
              </w:rPr>
              <w:t>/</w:t>
            </w:r>
            <w:r w:rsidRPr="004C7B7B">
              <w:rPr>
                <w:rFonts w:eastAsia="標楷體" w:hAnsi="標楷體"/>
                <w:sz w:val="32"/>
                <w:szCs w:val="32"/>
              </w:rPr>
              <w:t>風險</w:t>
            </w:r>
          </w:p>
        </w:tc>
      </w:tr>
      <w:tr w:rsidR="004C7B7B" w:rsidRPr="004C7B7B" w:rsidTr="004C7B7B">
        <w:tc>
          <w:tcPr>
            <w:tcW w:w="7120" w:type="dxa"/>
          </w:tcPr>
          <w:p w:rsidR="004C7B7B" w:rsidRPr="004C7B7B" w:rsidRDefault="008E1EF0" w:rsidP="00046887">
            <w:pPr>
              <w:pStyle w:val="a7"/>
              <w:spacing w:line="0" w:lineRule="atLeast"/>
              <w:ind w:leftChars="15" w:left="36"/>
              <w:rPr>
                <w:rFonts w:eastAsia="標楷體"/>
                <w:sz w:val="32"/>
                <w:szCs w:val="32"/>
              </w:rPr>
            </w:pPr>
            <w:r>
              <w:rPr>
                <w:rFonts w:eastAsia="標楷體" w:hAnsi="標楷體"/>
                <w:sz w:val="32"/>
                <w:szCs w:val="32"/>
              </w:rPr>
              <w:t>報導企業有無暴露於</w:t>
            </w:r>
            <w:r w:rsidR="0098723A" w:rsidRPr="004C7B7B">
              <w:rPr>
                <w:rFonts w:eastAsia="標楷體" w:hAnsi="標楷體"/>
                <w:sz w:val="32"/>
                <w:szCs w:val="32"/>
              </w:rPr>
              <w:t>來自於未納</w:t>
            </w:r>
            <w:r w:rsidR="0098723A">
              <w:rPr>
                <w:rFonts w:eastAsia="標楷體" w:hAnsi="標楷體" w:hint="eastAsia"/>
                <w:sz w:val="32"/>
                <w:szCs w:val="32"/>
              </w:rPr>
              <w:t>入</w:t>
            </w:r>
            <w:r w:rsidR="0098723A" w:rsidRPr="004C7B7B">
              <w:rPr>
                <w:rFonts w:eastAsia="標楷體" w:hAnsi="標楷體"/>
                <w:sz w:val="32"/>
                <w:szCs w:val="32"/>
              </w:rPr>
              <w:t>合併報表之結構型個體之活動</w:t>
            </w:r>
            <w:r w:rsidR="0098723A">
              <w:rPr>
                <w:rFonts w:eastAsia="標楷體" w:hAnsi="標楷體" w:hint="eastAsia"/>
                <w:sz w:val="32"/>
                <w:szCs w:val="32"/>
              </w:rPr>
              <w:t>之</w:t>
            </w:r>
            <w:r>
              <w:rPr>
                <w:rFonts w:eastAsia="標楷體" w:hAnsi="標楷體"/>
                <w:sz w:val="32"/>
                <w:szCs w:val="32"/>
              </w:rPr>
              <w:t>現時或未來</w:t>
            </w:r>
            <w:r>
              <w:rPr>
                <w:rFonts w:eastAsia="標楷體" w:hAnsi="標楷體" w:hint="eastAsia"/>
                <w:sz w:val="32"/>
                <w:szCs w:val="32"/>
              </w:rPr>
              <w:t>訴訟</w:t>
            </w:r>
            <w:r w:rsidRPr="004C7B7B">
              <w:rPr>
                <w:rFonts w:eastAsia="標楷體" w:hAnsi="標楷體"/>
                <w:sz w:val="32"/>
                <w:szCs w:val="32"/>
              </w:rPr>
              <w:t>風險？</w:t>
            </w:r>
          </w:p>
        </w:tc>
      </w:tr>
      <w:tr w:rsidR="004C7B7B" w:rsidRPr="004C7B7B" w:rsidTr="004C7B7B">
        <w:tc>
          <w:tcPr>
            <w:tcW w:w="7120" w:type="dxa"/>
            <w:shd w:val="clear" w:color="auto" w:fill="D9D9D9" w:themeFill="background1" w:themeFillShade="D9"/>
          </w:tcPr>
          <w:p w:rsidR="004C7B7B" w:rsidRPr="004C7B7B" w:rsidRDefault="004C7B7B" w:rsidP="00046887">
            <w:pPr>
              <w:widowControl/>
              <w:spacing w:line="0" w:lineRule="atLeast"/>
              <w:rPr>
                <w:rFonts w:eastAsia="標楷體"/>
                <w:sz w:val="32"/>
                <w:szCs w:val="32"/>
              </w:rPr>
            </w:pPr>
            <w:r w:rsidRPr="004C7B7B">
              <w:rPr>
                <w:rFonts w:eastAsia="標楷體" w:hAnsi="標楷體"/>
                <w:sz w:val="32"/>
                <w:szCs w:val="32"/>
              </w:rPr>
              <w:t>稅務風險</w:t>
            </w:r>
          </w:p>
        </w:tc>
      </w:tr>
      <w:tr w:rsidR="004C7B7B" w:rsidRPr="004C7B7B" w:rsidTr="004C7B7B">
        <w:tc>
          <w:tcPr>
            <w:tcW w:w="7120" w:type="dxa"/>
          </w:tcPr>
          <w:p w:rsidR="004C7B7B" w:rsidRPr="004C7B7B" w:rsidRDefault="004C7B7B" w:rsidP="00046887">
            <w:pPr>
              <w:pStyle w:val="a7"/>
              <w:spacing w:line="0" w:lineRule="atLeast"/>
              <w:ind w:leftChars="15" w:left="36"/>
              <w:rPr>
                <w:rFonts w:eastAsia="標楷體"/>
                <w:sz w:val="32"/>
                <w:szCs w:val="32"/>
              </w:rPr>
            </w:pPr>
            <w:r w:rsidRPr="004C7B7B">
              <w:rPr>
                <w:rFonts w:eastAsia="標楷體" w:hAnsi="標楷體"/>
                <w:sz w:val="32"/>
                <w:szCs w:val="32"/>
              </w:rPr>
              <w:t>報導企業有無暴露於</w:t>
            </w:r>
            <w:r w:rsidR="0098723A" w:rsidRPr="004C7B7B">
              <w:rPr>
                <w:rFonts w:eastAsia="標楷體" w:hAnsi="標楷體"/>
                <w:sz w:val="32"/>
                <w:szCs w:val="32"/>
              </w:rPr>
              <w:t>來自於未納</w:t>
            </w:r>
            <w:r w:rsidR="0098723A">
              <w:rPr>
                <w:rFonts w:eastAsia="標楷體" w:hAnsi="標楷體" w:hint="eastAsia"/>
                <w:sz w:val="32"/>
                <w:szCs w:val="32"/>
              </w:rPr>
              <w:t>入</w:t>
            </w:r>
            <w:r w:rsidR="0098723A" w:rsidRPr="004C7B7B">
              <w:rPr>
                <w:rFonts w:eastAsia="標楷體" w:hAnsi="標楷體"/>
                <w:sz w:val="32"/>
                <w:szCs w:val="32"/>
              </w:rPr>
              <w:t>合併報表之結構型個體之活動</w:t>
            </w:r>
            <w:r w:rsidR="0098723A">
              <w:rPr>
                <w:rFonts w:eastAsia="標楷體" w:hAnsi="標楷體" w:hint="eastAsia"/>
                <w:sz w:val="32"/>
                <w:szCs w:val="32"/>
              </w:rPr>
              <w:t>之</w:t>
            </w:r>
            <w:r w:rsidRPr="004C7B7B">
              <w:rPr>
                <w:rFonts w:eastAsia="標楷體" w:hAnsi="標楷體"/>
                <w:sz w:val="32"/>
                <w:szCs w:val="32"/>
              </w:rPr>
              <w:t>現時或未來稅務風險？</w:t>
            </w:r>
          </w:p>
        </w:tc>
      </w:tr>
    </w:tbl>
    <w:p w:rsidR="004C7B7B" w:rsidRPr="000C19E8" w:rsidRDefault="009607F6" w:rsidP="009607F6">
      <w:pPr>
        <w:pStyle w:val="a7"/>
        <w:spacing w:before="100" w:beforeAutospacing="1" w:after="100" w:afterAutospacing="1" w:line="400" w:lineRule="exact"/>
        <w:ind w:leftChars="0" w:left="1068" w:firstLineChars="197" w:firstLine="630"/>
        <w:rPr>
          <w:rFonts w:ascii="Times New Roman" w:eastAsia="標楷體" w:hAnsi="Times New Roman" w:cs="Times New Roman"/>
          <w:sz w:val="32"/>
          <w:szCs w:val="32"/>
        </w:rPr>
      </w:pPr>
      <w:r w:rsidRPr="000C19E8">
        <w:rPr>
          <w:rFonts w:ascii="Times New Roman" w:eastAsia="標楷體" w:hAnsi="Times New Roman" w:cs="Times New Roman" w:hint="eastAsia"/>
          <w:sz w:val="32"/>
          <w:szCs w:val="32"/>
        </w:rPr>
        <w:t>任何</w:t>
      </w:r>
      <w:r w:rsidR="000C19E8" w:rsidRPr="000C19E8">
        <w:rPr>
          <w:rFonts w:ascii="Times New Roman" w:eastAsia="標楷體" w:hAnsi="Times New Roman" w:cs="Times New Roman" w:hint="eastAsia"/>
          <w:sz w:val="32"/>
          <w:szCs w:val="32"/>
        </w:rPr>
        <w:t>單一</w:t>
      </w:r>
      <w:r w:rsidRPr="000C19E8">
        <w:rPr>
          <w:rFonts w:ascii="Times New Roman" w:eastAsia="標楷體" w:hAnsi="Times New Roman" w:cs="Times New Roman" w:hint="eastAsia"/>
          <w:sz w:val="32"/>
          <w:szCs w:val="32"/>
        </w:rPr>
        <w:t>因素本身</w:t>
      </w:r>
      <w:r w:rsidR="000C19E8" w:rsidRPr="000C19E8">
        <w:rPr>
          <w:rFonts w:ascii="Times New Roman" w:eastAsia="標楷體" w:hAnsi="Times New Roman" w:cs="Times New Roman" w:hint="eastAsia"/>
          <w:sz w:val="32"/>
          <w:szCs w:val="32"/>
        </w:rPr>
        <w:t>不具</w:t>
      </w:r>
      <w:r w:rsidRPr="000C19E8">
        <w:rPr>
          <w:rFonts w:ascii="Times New Roman" w:eastAsia="標楷體" w:hAnsi="Times New Roman" w:cs="Times New Roman" w:hint="eastAsia"/>
          <w:sz w:val="32"/>
          <w:szCs w:val="32"/>
        </w:rPr>
        <w:t>決定性。</w:t>
      </w:r>
      <w:proofErr w:type="gramStart"/>
      <w:r w:rsidRPr="000C19E8">
        <w:rPr>
          <w:rFonts w:ascii="Times New Roman" w:eastAsia="標楷體" w:hAnsi="Times New Roman" w:cs="Times New Roman" w:hint="eastAsia"/>
          <w:sz w:val="32"/>
          <w:szCs w:val="32"/>
        </w:rPr>
        <w:t>反之，</w:t>
      </w:r>
      <w:proofErr w:type="gramEnd"/>
      <w:r w:rsidR="000C19E8" w:rsidRPr="000C19E8">
        <w:rPr>
          <w:rFonts w:ascii="Times New Roman" w:eastAsia="標楷體" w:hAnsi="Times New Roman" w:cs="Times New Roman" w:hint="eastAsia"/>
          <w:sz w:val="32"/>
          <w:szCs w:val="32"/>
        </w:rPr>
        <w:t>應從實質與經濟面考量</w:t>
      </w:r>
      <w:r w:rsidRPr="000C19E8">
        <w:rPr>
          <w:rFonts w:ascii="Times New Roman" w:eastAsia="標楷體" w:hAnsi="Times New Roman" w:cs="Times New Roman" w:hint="eastAsia"/>
          <w:sz w:val="32"/>
          <w:szCs w:val="32"/>
        </w:rPr>
        <w:t>發起個體與未納入合併報表之結構型個體</w:t>
      </w:r>
      <w:r w:rsidR="000C19E8" w:rsidRPr="000C19E8">
        <w:rPr>
          <w:rFonts w:ascii="Times New Roman" w:eastAsia="標楷體" w:hAnsi="Times New Roman" w:cs="Times New Roman" w:hint="eastAsia"/>
          <w:sz w:val="32"/>
          <w:szCs w:val="32"/>
        </w:rPr>
        <w:t>間</w:t>
      </w:r>
      <w:r w:rsidRPr="000C19E8">
        <w:rPr>
          <w:rFonts w:ascii="Times New Roman" w:eastAsia="標楷體" w:hAnsi="Times New Roman" w:cs="Times New Roman" w:hint="eastAsia"/>
          <w:sz w:val="32"/>
          <w:szCs w:val="32"/>
        </w:rPr>
        <w:t>之關係。</w:t>
      </w:r>
    </w:p>
    <w:p w:rsidR="00690213" w:rsidRPr="00DC38C7" w:rsidRDefault="0031721D" w:rsidP="00203622">
      <w:pPr>
        <w:pStyle w:val="a7"/>
        <w:numPr>
          <w:ilvl w:val="0"/>
          <w:numId w:val="17"/>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揭露釋例</w:t>
      </w:r>
      <w:proofErr w:type="gramStart"/>
      <w:r w:rsidR="004F5ADE">
        <w:rPr>
          <w:rFonts w:ascii="Times New Roman" w:eastAsia="標楷體" w:hAnsi="Times New Roman" w:cs="Times New Roman" w:hint="eastAsia"/>
          <w:sz w:val="32"/>
          <w:szCs w:val="32"/>
        </w:rPr>
        <w:t>一</w:t>
      </w:r>
      <w:proofErr w:type="gramEnd"/>
    </w:p>
    <w:p w:rsidR="004F5ADE" w:rsidRPr="004F5ADE" w:rsidRDefault="004F5ADE" w:rsidP="00CA62B0">
      <w:pPr>
        <w:pStyle w:val="a7"/>
        <w:widowControl/>
        <w:spacing w:beforeLines="50" w:afterLines="50" w:line="368" w:lineRule="exact"/>
        <w:ind w:leftChars="0" w:left="1068"/>
        <w:jc w:val="both"/>
        <w:rPr>
          <w:rFonts w:ascii="Times New Roman" w:eastAsia="標楷體" w:hAnsi="Times New Roman" w:cs="Times New Roman"/>
          <w:spacing w:val="20"/>
          <w:sz w:val="32"/>
          <w:szCs w:val="32"/>
        </w:rPr>
      </w:pPr>
      <w:r>
        <w:rPr>
          <w:rFonts w:ascii="Times New Roman" w:eastAsia="標楷體" w:hAnsi="Times New Roman" w:cs="Times New Roman"/>
          <w:spacing w:val="20"/>
          <w:sz w:val="32"/>
          <w:szCs w:val="32"/>
        </w:rPr>
        <w:t>X.</w:t>
      </w:r>
      <w:r w:rsidRPr="004F5ADE">
        <w:rPr>
          <w:rFonts w:ascii="Times New Roman" w:eastAsia="標楷體" w:cs="Times New Roman"/>
          <w:spacing w:val="20"/>
          <w:sz w:val="32"/>
          <w:szCs w:val="32"/>
        </w:rPr>
        <w:t>參與未納入合併報告之結構型個體</w:t>
      </w:r>
    </w:p>
    <w:p w:rsidR="004F5ADE" w:rsidRPr="004F5ADE" w:rsidRDefault="004F5ADE" w:rsidP="004F5ADE">
      <w:pPr>
        <w:pStyle w:val="a7"/>
        <w:spacing w:before="100" w:beforeAutospacing="1" w:after="100" w:afterAutospacing="1" w:line="400" w:lineRule="exact"/>
        <w:ind w:leftChars="0" w:left="1418" w:firstLineChars="196" w:firstLine="706"/>
        <w:rPr>
          <w:rFonts w:ascii="Times New Roman" w:eastAsia="標楷體" w:hAnsi="Times New Roman" w:cs="Times New Roman"/>
          <w:spacing w:val="20"/>
          <w:sz w:val="32"/>
          <w:szCs w:val="32"/>
        </w:rPr>
      </w:pPr>
      <w:r w:rsidRPr="004F5ADE">
        <w:rPr>
          <w:rFonts w:ascii="Times New Roman" w:eastAsia="標楷體" w:cs="Times New Roman"/>
          <w:spacing w:val="20"/>
          <w:sz w:val="32"/>
          <w:szCs w:val="32"/>
        </w:rPr>
        <w:t>合併公司之子公司</w:t>
      </w:r>
      <w:r w:rsidRPr="004F5ADE">
        <w:rPr>
          <w:rFonts w:ascii="Times New Roman" w:eastAsia="標楷體" w:hAnsi="Times New Roman" w:cs="Times New Roman"/>
          <w:spacing w:val="20"/>
          <w:sz w:val="32"/>
          <w:szCs w:val="32"/>
        </w:rPr>
        <w:t>A</w:t>
      </w:r>
      <w:r w:rsidRPr="004F5ADE">
        <w:rPr>
          <w:rFonts w:ascii="Times New Roman" w:eastAsia="標楷體" w:cs="Times New Roman"/>
          <w:spacing w:val="20"/>
          <w:sz w:val="32"/>
          <w:szCs w:val="32"/>
        </w:rPr>
        <w:t>因應收帳款而參與循環多賣方證券化載具。一旦銷售商品，</w:t>
      </w:r>
      <w:r w:rsidRPr="004F5ADE">
        <w:rPr>
          <w:rFonts w:ascii="Times New Roman" w:eastAsia="標楷體" w:hAnsi="Times New Roman" w:cs="Times New Roman"/>
          <w:spacing w:val="20"/>
          <w:sz w:val="32"/>
          <w:szCs w:val="32"/>
        </w:rPr>
        <w:t>A</w:t>
      </w:r>
      <w:r w:rsidRPr="004F5ADE">
        <w:rPr>
          <w:rFonts w:ascii="Times New Roman" w:eastAsia="標楷體" w:cs="Times New Roman"/>
          <w:spacing w:val="20"/>
          <w:sz w:val="32"/>
          <w:szCs w:val="32"/>
        </w:rPr>
        <w:lastRenderedPageBreak/>
        <w:t>公司立即</w:t>
      </w:r>
      <w:proofErr w:type="gramStart"/>
      <w:r w:rsidRPr="004F5ADE">
        <w:rPr>
          <w:rFonts w:ascii="Times New Roman" w:eastAsia="標楷體" w:cs="Times New Roman"/>
          <w:spacing w:val="20"/>
          <w:sz w:val="32"/>
          <w:szCs w:val="32"/>
        </w:rPr>
        <w:t>向該載具</w:t>
      </w:r>
      <w:proofErr w:type="gramEnd"/>
      <w:r w:rsidRPr="004F5ADE">
        <w:rPr>
          <w:rFonts w:ascii="Times New Roman" w:eastAsia="標楷體" w:cs="Times New Roman"/>
          <w:spacing w:val="20"/>
          <w:sz w:val="32"/>
          <w:szCs w:val="32"/>
        </w:rPr>
        <w:t>收取相關價款，其金額等於帳款面額減補貼融資成本</w:t>
      </w:r>
      <w:proofErr w:type="gramStart"/>
      <w:r w:rsidRPr="004F5ADE">
        <w:rPr>
          <w:rFonts w:ascii="Times New Roman" w:eastAsia="標楷體" w:cs="Times New Roman"/>
          <w:spacing w:val="20"/>
          <w:sz w:val="32"/>
          <w:szCs w:val="32"/>
        </w:rPr>
        <w:t>溢酬之</w:t>
      </w:r>
      <w:proofErr w:type="gramEnd"/>
      <w:r w:rsidRPr="004F5ADE">
        <w:rPr>
          <w:rFonts w:ascii="Times New Roman" w:eastAsia="標楷體" w:cs="Times New Roman"/>
          <w:spacing w:val="20"/>
          <w:sz w:val="32"/>
          <w:szCs w:val="32"/>
        </w:rPr>
        <w:t>餘額。合併公司每季檢視</w:t>
      </w:r>
      <w:proofErr w:type="gramStart"/>
      <w:r w:rsidRPr="004F5ADE">
        <w:rPr>
          <w:rFonts w:ascii="Times New Roman" w:eastAsia="標楷體" w:cs="Times New Roman"/>
          <w:spacing w:val="20"/>
          <w:sz w:val="32"/>
          <w:szCs w:val="32"/>
        </w:rPr>
        <w:t>該溢酬之</w:t>
      </w:r>
      <w:proofErr w:type="gramEnd"/>
      <w:r w:rsidRPr="004F5ADE">
        <w:rPr>
          <w:rFonts w:ascii="Times New Roman" w:eastAsia="標楷體" w:cs="Times New Roman"/>
          <w:spacing w:val="20"/>
          <w:sz w:val="32"/>
          <w:szCs w:val="32"/>
        </w:rPr>
        <w:t>水準。合併公司負責維持客戶關係且代理該證券化載具。若客戶所積欠之應收帳款有違約情事，該帳款會以面額賣回給合併公司</w:t>
      </w:r>
      <w:bookmarkStart w:id="0" w:name="_Ref390782013"/>
      <w:r w:rsidR="00450E5B">
        <w:rPr>
          <w:rStyle w:val="ad"/>
          <w:rFonts w:ascii="Times New Roman" w:eastAsia="標楷體" w:cs="Times New Roman"/>
          <w:spacing w:val="20"/>
          <w:sz w:val="32"/>
          <w:szCs w:val="32"/>
        </w:rPr>
        <w:footnoteReference w:id="1"/>
      </w:r>
      <w:r w:rsidR="001D0E54">
        <w:rPr>
          <w:rFonts w:ascii="Times New Roman" w:eastAsia="標楷體" w:cs="Times New Roman" w:hint="eastAsia"/>
          <w:spacing w:val="20"/>
          <w:sz w:val="32"/>
          <w:szCs w:val="32"/>
        </w:rPr>
        <w:t>。</w:t>
      </w:r>
      <w:r w:rsidR="001D0E54" w:rsidRPr="0074617E">
        <w:rPr>
          <w:rFonts w:ascii="Times New Roman" w:eastAsia="標楷體" w:cs="Times New Roman"/>
          <w:spacing w:val="20"/>
          <w:sz w:val="32"/>
          <w:szCs w:val="32"/>
        </w:rPr>
        <w:t>民國</w:t>
      </w:r>
      <w:r w:rsidR="001D0E54" w:rsidRPr="0074617E">
        <w:rPr>
          <w:rFonts w:ascii="Times New Roman" w:eastAsia="標楷體" w:hAnsi="Times New Roman" w:cs="Times New Roman"/>
          <w:spacing w:val="20"/>
          <w:sz w:val="32"/>
          <w:szCs w:val="32"/>
        </w:rPr>
        <w:t>X2</w:t>
      </w:r>
      <w:r w:rsidR="001D0E54" w:rsidRPr="0074617E">
        <w:rPr>
          <w:rFonts w:ascii="Times New Roman" w:eastAsia="標楷體" w:cs="Times New Roman"/>
          <w:spacing w:val="20"/>
          <w:sz w:val="32"/>
          <w:szCs w:val="32"/>
        </w:rPr>
        <w:t>年及</w:t>
      </w:r>
      <w:r w:rsidR="001D0E54" w:rsidRPr="0074617E">
        <w:rPr>
          <w:rFonts w:ascii="Times New Roman" w:eastAsia="標楷體" w:hAnsi="Times New Roman" w:cs="Times New Roman"/>
          <w:spacing w:val="20"/>
          <w:sz w:val="32"/>
          <w:szCs w:val="32"/>
        </w:rPr>
        <w:t>X1</w:t>
      </w:r>
      <w:r w:rsidR="001D0E54" w:rsidRPr="0074617E">
        <w:rPr>
          <w:rFonts w:ascii="Times New Roman" w:eastAsia="標楷體" w:cs="Times New Roman"/>
          <w:spacing w:val="20"/>
          <w:sz w:val="32"/>
          <w:szCs w:val="32"/>
        </w:rPr>
        <w:t>年十二月三十一日</w:t>
      </w:r>
      <w:r w:rsidR="002A44C1" w:rsidRPr="0074617E">
        <w:rPr>
          <w:rFonts w:ascii="Times New Roman" w:eastAsia="標楷體" w:cs="Times New Roman" w:hint="eastAsia"/>
          <w:spacing w:val="20"/>
          <w:sz w:val="32"/>
          <w:szCs w:val="32"/>
        </w:rPr>
        <w:t>該證券化載具之總資產分別為</w:t>
      </w:r>
      <w:r w:rsidR="002A44C1" w:rsidRPr="0074617E">
        <w:rPr>
          <w:rFonts w:ascii="Times New Roman" w:eastAsia="標楷體" w:cs="Times New Roman" w:hint="eastAsia"/>
          <w:spacing w:val="20"/>
          <w:sz w:val="32"/>
          <w:szCs w:val="32"/>
        </w:rPr>
        <w:t>XX</w:t>
      </w:r>
      <w:r w:rsidR="002A44C1" w:rsidRPr="0074617E">
        <w:rPr>
          <w:rFonts w:ascii="Times New Roman" w:eastAsia="標楷體" w:cs="Times New Roman" w:hint="eastAsia"/>
          <w:spacing w:val="20"/>
          <w:sz w:val="32"/>
          <w:szCs w:val="32"/>
        </w:rPr>
        <w:t>千元及</w:t>
      </w:r>
      <w:r w:rsidR="002A44C1" w:rsidRPr="0074617E">
        <w:rPr>
          <w:rFonts w:ascii="Times New Roman" w:eastAsia="標楷體" w:cs="Times New Roman" w:hint="eastAsia"/>
          <w:spacing w:val="20"/>
          <w:sz w:val="32"/>
          <w:szCs w:val="32"/>
        </w:rPr>
        <w:t>XX</w:t>
      </w:r>
      <w:r w:rsidR="002A44C1" w:rsidRPr="0074617E">
        <w:rPr>
          <w:rFonts w:ascii="Times New Roman" w:eastAsia="標楷體" w:cs="Times New Roman" w:hint="eastAsia"/>
          <w:spacing w:val="20"/>
          <w:sz w:val="32"/>
          <w:szCs w:val="32"/>
        </w:rPr>
        <w:t>千元</w:t>
      </w:r>
      <w:bookmarkStart w:id="1" w:name="_Ref390850779"/>
      <w:bookmarkEnd w:id="0"/>
      <w:r w:rsidR="009C74EF">
        <w:rPr>
          <w:rStyle w:val="ad"/>
          <w:rFonts w:ascii="Times New Roman" w:eastAsia="標楷體" w:cs="Times New Roman"/>
          <w:spacing w:val="20"/>
          <w:sz w:val="32"/>
          <w:szCs w:val="32"/>
        </w:rPr>
        <w:footnoteReference w:id="2"/>
      </w:r>
      <w:bookmarkEnd w:id="1"/>
      <w:r w:rsidRPr="004F5ADE">
        <w:rPr>
          <w:rFonts w:ascii="Times New Roman" w:eastAsia="標楷體" w:cs="Times New Roman"/>
          <w:spacing w:val="20"/>
          <w:sz w:val="32"/>
          <w:szCs w:val="32"/>
        </w:rPr>
        <w:t>。</w:t>
      </w:r>
      <w:r w:rsidRPr="004F5ADE">
        <w:rPr>
          <w:rFonts w:ascii="Times New Roman" w:eastAsia="標楷體" w:hAnsi="Times New Roman" w:cs="Times New Roman" w:hint="eastAsia"/>
          <w:b/>
          <w:color w:val="0033CC"/>
          <w:spacing w:val="20"/>
          <w:szCs w:val="24"/>
        </w:rPr>
        <w:t>(IFRS 12.26)</w:t>
      </w:r>
    </w:p>
    <w:p w:rsidR="004F5ADE" w:rsidRPr="004F5ADE" w:rsidRDefault="004F5ADE" w:rsidP="004F5ADE">
      <w:pPr>
        <w:pStyle w:val="a7"/>
        <w:spacing w:before="100" w:beforeAutospacing="1" w:after="100" w:afterAutospacing="1" w:line="400" w:lineRule="exact"/>
        <w:ind w:leftChars="0" w:left="1418" w:firstLineChars="196" w:firstLine="706"/>
        <w:rPr>
          <w:rFonts w:ascii="Times New Roman" w:eastAsia="標楷體" w:hAnsi="Times New Roman" w:cs="Times New Roman"/>
          <w:spacing w:val="20"/>
          <w:sz w:val="32"/>
          <w:szCs w:val="32"/>
        </w:rPr>
      </w:pPr>
      <w:r w:rsidRPr="004F5ADE">
        <w:rPr>
          <w:rFonts w:ascii="Times New Roman" w:eastAsia="標楷體" w:cs="Times New Roman"/>
          <w:spacing w:val="20"/>
          <w:sz w:val="32"/>
          <w:szCs w:val="32"/>
        </w:rPr>
        <w:t>該應收帳款並未自資產負債表除列，該移轉所收取之</w:t>
      </w:r>
      <w:proofErr w:type="gramStart"/>
      <w:r w:rsidRPr="004F5ADE">
        <w:rPr>
          <w:rFonts w:ascii="Times New Roman" w:eastAsia="標楷體" w:cs="Times New Roman"/>
          <w:spacing w:val="20"/>
          <w:sz w:val="32"/>
          <w:szCs w:val="32"/>
        </w:rPr>
        <w:t>金額係認列</w:t>
      </w:r>
      <w:proofErr w:type="gramEnd"/>
      <w:r w:rsidRPr="004F5ADE">
        <w:rPr>
          <w:rFonts w:ascii="Times New Roman" w:eastAsia="標楷體" w:cs="Times New Roman"/>
          <w:spacing w:val="20"/>
          <w:sz w:val="32"/>
          <w:szCs w:val="32"/>
        </w:rPr>
        <w:t>於金融負債（請詳附註</w:t>
      </w:r>
      <w:r w:rsidRPr="004F5ADE">
        <w:rPr>
          <w:rFonts w:ascii="Times New Roman" w:eastAsia="標楷體" w:hAnsi="Times New Roman" w:cs="Times New Roman"/>
          <w:spacing w:val="20"/>
          <w:sz w:val="32"/>
          <w:szCs w:val="32"/>
        </w:rPr>
        <w:t>X</w:t>
      </w:r>
      <w:r w:rsidRPr="004F5ADE">
        <w:rPr>
          <w:rFonts w:ascii="Times New Roman" w:eastAsia="標楷體" w:cs="Times New Roman"/>
          <w:spacing w:val="20"/>
          <w:sz w:val="32"/>
          <w:szCs w:val="32"/>
        </w:rPr>
        <w:t>）。</w:t>
      </w:r>
      <w:r w:rsidRPr="004F5ADE">
        <w:rPr>
          <w:rFonts w:ascii="Times New Roman" w:eastAsia="標楷體" w:hAnsi="Times New Roman" w:cs="Times New Roman" w:hint="eastAsia"/>
          <w:b/>
          <w:color w:val="0033CC"/>
          <w:spacing w:val="20"/>
          <w:szCs w:val="24"/>
        </w:rPr>
        <w:t>(IFRS 12.24(a))</w:t>
      </w:r>
    </w:p>
    <w:p w:rsidR="004F5ADE" w:rsidRPr="004F5ADE" w:rsidRDefault="004F5ADE" w:rsidP="004F5ADE">
      <w:pPr>
        <w:pStyle w:val="a7"/>
        <w:spacing w:before="100" w:beforeAutospacing="1" w:after="100" w:afterAutospacing="1" w:line="400" w:lineRule="exact"/>
        <w:ind w:leftChars="0" w:left="1418" w:firstLineChars="196" w:firstLine="706"/>
        <w:rPr>
          <w:rFonts w:ascii="Times New Roman" w:eastAsia="標楷體" w:hAnsi="Times New Roman" w:cs="Times New Roman"/>
          <w:spacing w:val="20"/>
          <w:sz w:val="32"/>
          <w:szCs w:val="32"/>
        </w:rPr>
      </w:pPr>
      <w:r w:rsidRPr="004F5ADE">
        <w:rPr>
          <w:rFonts w:ascii="Times New Roman" w:eastAsia="標楷體" w:cs="Times New Roman"/>
          <w:spacing w:val="20"/>
          <w:sz w:val="32"/>
          <w:szCs w:val="32"/>
        </w:rPr>
        <w:t>合併公司於民國</w:t>
      </w:r>
      <w:r w:rsidRPr="004F5ADE">
        <w:rPr>
          <w:rFonts w:ascii="Times New Roman" w:eastAsia="標楷體" w:hAnsi="Times New Roman" w:cs="Times New Roman"/>
          <w:spacing w:val="20"/>
          <w:sz w:val="32"/>
          <w:szCs w:val="32"/>
        </w:rPr>
        <w:t>X2</w:t>
      </w:r>
      <w:r w:rsidRPr="004F5ADE">
        <w:rPr>
          <w:rFonts w:ascii="Times New Roman" w:eastAsia="標楷體" w:cs="Times New Roman"/>
          <w:spacing w:val="20"/>
          <w:sz w:val="32"/>
          <w:szCs w:val="32"/>
        </w:rPr>
        <w:t>年及</w:t>
      </w:r>
      <w:r w:rsidRPr="004F5ADE">
        <w:rPr>
          <w:rFonts w:ascii="Times New Roman" w:eastAsia="標楷體" w:hAnsi="Times New Roman" w:cs="Times New Roman"/>
          <w:spacing w:val="20"/>
          <w:sz w:val="32"/>
          <w:szCs w:val="32"/>
        </w:rPr>
        <w:t>X1</w:t>
      </w:r>
      <w:r w:rsidRPr="004F5ADE">
        <w:rPr>
          <w:rFonts w:ascii="Times New Roman" w:eastAsia="標楷體" w:cs="Times New Roman"/>
          <w:spacing w:val="20"/>
          <w:sz w:val="32"/>
          <w:szCs w:val="32"/>
        </w:rPr>
        <w:t>年十二月三十一日參與該結構型個體之</w:t>
      </w:r>
      <w:proofErr w:type="gramStart"/>
      <w:r w:rsidRPr="004F5ADE">
        <w:rPr>
          <w:rFonts w:ascii="Times New Roman" w:eastAsia="標楷體" w:cs="Times New Roman"/>
          <w:spacing w:val="20"/>
          <w:sz w:val="32"/>
          <w:szCs w:val="32"/>
        </w:rPr>
        <w:t>帳面</w:t>
      </w:r>
      <w:proofErr w:type="gramEnd"/>
      <w:r w:rsidRPr="004F5ADE">
        <w:rPr>
          <w:rFonts w:ascii="Times New Roman" w:eastAsia="標楷體" w:cs="Times New Roman"/>
          <w:spacing w:val="20"/>
          <w:sz w:val="32"/>
          <w:szCs w:val="32"/>
        </w:rPr>
        <w:t>金額如下：</w:t>
      </w:r>
      <w:r w:rsidRPr="004F5ADE">
        <w:rPr>
          <w:rFonts w:ascii="Times New Roman" w:eastAsia="標楷體" w:hAnsi="Times New Roman" w:cs="Times New Roman" w:hint="eastAsia"/>
          <w:b/>
          <w:color w:val="0033CC"/>
          <w:spacing w:val="20"/>
          <w:szCs w:val="24"/>
        </w:rPr>
        <w:t>(IFRS 12.29)</w:t>
      </w:r>
    </w:p>
    <w:tbl>
      <w:tblPr>
        <w:tblStyle w:val="af7"/>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457"/>
        <w:gridCol w:w="1416"/>
        <w:gridCol w:w="138"/>
        <w:gridCol w:w="1352"/>
      </w:tblGrid>
      <w:tr w:rsidR="004F5ADE" w:rsidRPr="004F5ADE" w:rsidTr="004F5ADE">
        <w:tc>
          <w:tcPr>
            <w:tcW w:w="5457" w:type="dxa"/>
          </w:tcPr>
          <w:p w:rsidR="004F5ADE" w:rsidRPr="004F5ADE" w:rsidRDefault="004F5ADE" w:rsidP="00CA62B0">
            <w:pPr>
              <w:kinsoku w:val="0"/>
              <w:overflowPunct w:val="0"/>
              <w:autoSpaceDE w:val="0"/>
              <w:autoSpaceDN w:val="0"/>
              <w:spacing w:beforeLines="50"/>
              <w:jc w:val="both"/>
              <w:rPr>
                <w:rFonts w:eastAsia="標楷體"/>
                <w:snapToGrid w:val="0"/>
                <w:spacing w:val="20"/>
                <w:sz w:val="32"/>
                <w:szCs w:val="32"/>
              </w:rPr>
            </w:pPr>
          </w:p>
        </w:tc>
        <w:tc>
          <w:tcPr>
            <w:tcW w:w="1416" w:type="dxa"/>
            <w:tcBorders>
              <w:bottom w:val="single" w:sz="4" w:space="0" w:color="auto"/>
            </w:tcBorders>
          </w:tcPr>
          <w:p w:rsidR="0004572D" w:rsidRDefault="004F5ADE"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4F5ADE">
              <w:rPr>
                <w:rFonts w:ascii="Times New Roman" w:cs="Times New Roman"/>
                <w:b/>
                <w:snapToGrid w:val="0"/>
                <w:color w:val="auto"/>
                <w:spacing w:val="20"/>
                <w:sz w:val="32"/>
                <w:szCs w:val="32"/>
              </w:rPr>
              <w:t>X2.12.31</w:t>
            </w:r>
          </w:p>
        </w:tc>
        <w:tc>
          <w:tcPr>
            <w:tcW w:w="138" w:type="dxa"/>
          </w:tcPr>
          <w:p w:rsidR="0004572D" w:rsidRDefault="0004572D"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p>
        </w:tc>
        <w:tc>
          <w:tcPr>
            <w:tcW w:w="1352" w:type="dxa"/>
            <w:tcBorders>
              <w:bottom w:val="single" w:sz="4" w:space="0" w:color="auto"/>
            </w:tcBorders>
          </w:tcPr>
          <w:p w:rsidR="0004572D" w:rsidRDefault="004F5ADE"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4F5ADE">
              <w:rPr>
                <w:rFonts w:ascii="Times New Roman" w:cs="Times New Roman"/>
                <w:b/>
                <w:snapToGrid w:val="0"/>
                <w:color w:val="auto"/>
                <w:spacing w:val="20"/>
                <w:sz w:val="32"/>
                <w:szCs w:val="32"/>
              </w:rPr>
              <w:t>X1.12.31</w:t>
            </w:r>
          </w:p>
        </w:tc>
      </w:tr>
      <w:tr w:rsidR="004F5ADE" w:rsidRPr="004F5ADE" w:rsidTr="004F5ADE">
        <w:tc>
          <w:tcPr>
            <w:tcW w:w="5457" w:type="dxa"/>
          </w:tcPr>
          <w:p w:rsidR="004F5ADE" w:rsidRPr="004F5ADE" w:rsidRDefault="004F5ADE" w:rsidP="000B046A">
            <w:pPr>
              <w:pStyle w:val="a7"/>
              <w:spacing w:before="100" w:beforeAutospacing="1" w:after="100" w:afterAutospacing="1" w:line="400" w:lineRule="exact"/>
              <w:ind w:leftChars="0" w:left="1985"/>
              <w:rPr>
                <w:rFonts w:eastAsia="標楷體"/>
                <w:snapToGrid w:val="0"/>
                <w:spacing w:val="20"/>
                <w:sz w:val="32"/>
                <w:szCs w:val="32"/>
              </w:rPr>
            </w:pPr>
            <w:r w:rsidRPr="004F5ADE">
              <w:rPr>
                <w:rFonts w:eastAsia="標楷體"/>
                <w:snapToGrid w:val="0"/>
                <w:spacing w:val="20"/>
                <w:sz w:val="32"/>
                <w:szCs w:val="32"/>
              </w:rPr>
              <w:t>移轉至證券化載具之應收帳款</w:t>
            </w:r>
            <w:proofErr w:type="gramStart"/>
            <w:r w:rsidRPr="004F5ADE">
              <w:rPr>
                <w:rFonts w:eastAsia="標楷體"/>
                <w:snapToGrid w:val="0"/>
                <w:spacing w:val="20"/>
                <w:sz w:val="32"/>
                <w:szCs w:val="32"/>
              </w:rPr>
              <w:t>帳面</w:t>
            </w:r>
            <w:proofErr w:type="gramEnd"/>
            <w:r w:rsidRPr="004F5ADE">
              <w:rPr>
                <w:rFonts w:eastAsia="標楷體"/>
                <w:snapToGrid w:val="0"/>
                <w:spacing w:val="20"/>
                <w:sz w:val="32"/>
                <w:szCs w:val="32"/>
              </w:rPr>
              <w:t>金額（列報於應收帳款）</w:t>
            </w:r>
          </w:p>
        </w:tc>
        <w:tc>
          <w:tcPr>
            <w:tcW w:w="1416" w:type="dxa"/>
            <w:tcBorders>
              <w:top w:val="single" w:sz="4" w:space="0" w:color="auto"/>
              <w:left w:val="nil"/>
              <w:bottom w:val="double" w:sz="4" w:space="0" w:color="auto"/>
            </w:tcBorders>
          </w:tcPr>
          <w:p w:rsidR="004F5ADE" w:rsidRPr="004F5ADE" w:rsidRDefault="004F5ADE"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sing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4F5ADE" w:rsidRPr="004F5ADE" w:rsidTr="004F5ADE">
        <w:tc>
          <w:tcPr>
            <w:tcW w:w="5457" w:type="dxa"/>
          </w:tcPr>
          <w:p w:rsidR="004F5ADE" w:rsidRPr="004F5ADE" w:rsidRDefault="004F5ADE" w:rsidP="000B046A">
            <w:pPr>
              <w:pStyle w:val="a7"/>
              <w:spacing w:before="100" w:beforeAutospacing="1" w:after="100" w:afterAutospacing="1" w:line="400" w:lineRule="exact"/>
              <w:ind w:leftChars="0" w:left="1985"/>
              <w:rPr>
                <w:rFonts w:eastAsia="標楷體"/>
                <w:snapToGrid w:val="0"/>
                <w:spacing w:val="20"/>
                <w:sz w:val="32"/>
                <w:szCs w:val="32"/>
              </w:rPr>
            </w:pPr>
            <w:r w:rsidRPr="004F5ADE">
              <w:rPr>
                <w:rFonts w:eastAsia="標楷體"/>
                <w:snapToGrid w:val="0"/>
                <w:spacing w:val="20"/>
                <w:sz w:val="32"/>
                <w:szCs w:val="32"/>
              </w:rPr>
              <w:t>自證券化所收取之金融負債</w:t>
            </w:r>
            <w:proofErr w:type="gramStart"/>
            <w:r w:rsidRPr="004F5ADE">
              <w:rPr>
                <w:rFonts w:eastAsia="標楷體"/>
                <w:snapToGrid w:val="0"/>
                <w:spacing w:val="20"/>
                <w:sz w:val="32"/>
                <w:szCs w:val="32"/>
              </w:rPr>
              <w:t>帳面</w:t>
            </w:r>
            <w:proofErr w:type="gramEnd"/>
            <w:r w:rsidRPr="004F5ADE">
              <w:rPr>
                <w:rFonts w:eastAsia="標楷體"/>
                <w:snapToGrid w:val="0"/>
                <w:spacing w:val="20"/>
                <w:sz w:val="32"/>
                <w:szCs w:val="32"/>
              </w:rPr>
              <w:t>金額（列報於短期借款）</w:t>
            </w:r>
          </w:p>
        </w:tc>
        <w:tc>
          <w:tcPr>
            <w:tcW w:w="1416" w:type="dxa"/>
            <w:tcBorders>
              <w:top w:val="double" w:sz="4" w:space="0" w:color="auto"/>
              <w:left w:val="nil"/>
              <w:bottom w:val="double" w:sz="4" w:space="0" w:color="auto"/>
            </w:tcBorders>
          </w:tcPr>
          <w:p w:rsidR="004F5ADE" w:rsidRPr="004F5ADE" w:rsidRDefault="004F5ADE"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doub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4F5ADE" w:rsidRPr="004F5ADE" w:rsidTr="004F5ADE">
        <w:tc>
          <w:tcPr>
            <w:tcW w:w="5457" w:type="dxa"/>
          </w:tcPr>
          <w:p w:rsidR="004F5ADE" w:rsidRPr="004F5ADE" w:rsidRDefault="004F5ADE" w:rsidP="000B046A">
            <w:pPr>
              <w:pStyle w:val="a7"/>
              <w:spacing w:before="100" w:beforeAutospacing="1" w:after="100" w:afterAutospacing="1" w:line="400" w:lineRule="exact"/>
              <w:ind w:leftChars="0" w:left="1985"/>
              <w:rPr>
                <w:rFonts w:eastAsia="標楷體"/>
                <w:snapToGrid w:val="0"/>
                <w:spacing w:val="20"/>
                <w:sz w:val="32"/>
                <w:szCs w:val="32"/>
              </w:rPr>
            </w:pPr>
            <w:r w:rsidRPr="004F5ADE">
              <w:rPr>
                <w:rFonts w:eastAsia="標楷體"/>
                <w:spacing w:val="20"/>
                <w:sz w:val="32"/>
                <w:szCs w:val="32"/>
              </w:rPr>
              <w:t>來自該等個體損失之</w:t>
            </w:r>
            <w:proofErr w:type="gramStart"/>
            <w:r w:rsidRPr="004F5ADE">
              <w:rPr>
                <w:rFonts w:eastAsia="標楷體"/>
                <w:snapToGrid w:val="0"/>
                <w:spacing w:val="20"/>
                <w:sz w:val="32"/>
                <w:szCs w:val="32"/>
              </w:rPr>
              <w:t>最大暴險金額</w:t>
            </w:r>
            <w:proofErr w:type="gramEnd"/>
            <w:r w:rsidRPr="004F5ADE">
              <w:rPr>
                <w:rFonts w:eastAsia="標楷體"/>
                <w:snapToGrid w:val="0"/>
                <w:spacing w:val="20"/>
                <w:sz w:val="32"/>
                <w:szCs w:val="32"/>
              </w:rPr>
              <w:t>（即應收帳款之</w:t>
            </w:r>
            <w:proofErr w:type="gramStart"/>
            <w:r w:rsidRPr="004F5ADE">
              <w:rPr>
                <w:rFonts w:eastAsia="標楷體"/>
                <w:snapToGrid w:val="0"/>
                <w:spacing w:val="20"/>
                <w:sz w:val="32"/>
                <w:szCs w:val="32"/>
              </w:rPr>
              <w:t>帳面</w:t>
            </w:r>
            <w:proofErr w:type="gramEnd"/>
            <w:r w:rsidRPr="004F5ADE">
              <w:rPr>
                <w:rFonts w:eastAsia="標楷體"/>
                <w:snapToGrid w:val="0"/>
                <w:spacing w:val="20"/>
                <w:sz w:val="32"/>
                <w:szCs w:val="32"/>
              </w:rPr>
              <w:t>金額）</w:t>
            </w:r>
          </w:p>
        </w:tc>
        <w:tc>
          <w:tcPr>
            <w:tcW w:w="1416" w:type="dxa"/>
            <w:tcBorders>
              <w:top w:val="doub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doub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bl>
    <w:p w:rsidR="004F5ADE" w:rsidRPr="004F5ADE" w:rsidRDefault="004F5ADE" w:rsidP="009C74EF">
      <w:pPr>
        <w:pStyle w:val="a7"/>
        <w:spacing w:before="100" w:beforeAutospacing="1" w:after="100" w:afterAutospacing="1" w:line="400" w:lineRule="exact"/>
        <w:ind w:leftChars="0" w:left="1418" w:firstLineChars="196" w:firstLine="706"/>
        <w:jc w:val="both"/>
        <w:rPr>
          <w:rFonts w:ascii="Times New Roman" w:eastAsia="標楷體" w:hAnsi="Times New Roman" w:cs="Times New Roman"/>
          <w:spacing w:val="20"/>
          <w:sz w:val="32"/>
          <w:szCs w:val="32"/>
        </w:rPr>
      </w:pPr>
      <w:r w:rsidRPr="004F5ADE">
        <w:rPr>
          <w:rFonts w:ascii="Times New Roman" w:eastAsia="標楷體" w:cs="Times New Roman"/>
          <w:spacing w:val="20"/>
          <w:sz w:val="32"/>
          <w:szCs w:val="32"/>
        </w:rPr>
        <w:t>合併公司經判定認為未控制該證券化載</w:t>
      </w:r>
      <w:r w:rsidRPr="004F5ADE">
        <w:rPr>
          <w:rFonts w:ascii="Times New Roman" w:eastAsia="標楷體" w:cs="Times New Roman"/>
          <w:spacing w:val="20"/>
          <w:sz w:val="32"/>
          <w:szCs w:val="32"/>
        </w:rPr>
        <w:lastRenderedPageBreak/>
        <w:t>具，因此未將其納入合併。該證券化</w:t>
      </w:r>
      <w:proofErr w:type="gramStart"/>
      <w:r w:rsidRPr="004F5ADE">
        <w:rPr>
          <w:rFonts w:ascii="Times New Roman" w:eastAsia="標楷體" w:cs="Times New Roman"/>
          <w:spacing w:val="20"/>
          <w:sz w:val="32"/>
          <w:szCs w:val="32"/>
        </w:rPr>
        <w:t>載具向數</w:t>
      </w:r>
      <w:proofErr w:type="gramEnd"/>
      <w:r w:rsidRPr="004F5ADE">
        <w:rPr>
          <w:rFonts w:ascii="Times New Roman" w:eastAsia="標楷體" w:cs="Times New Roman"/>
          <w:spacing w:val="20"/>
          <w:sz w:val="32"/>
          <w:szCs w:val="32"/>
        </w:rPr>
        <w:t>家從事</w:t>
      </w:r>
      <w:r w:rsidRPr="004F5ADE">
        <w:rPr>
          <w:rFonts w:ascii="Times New Roman" w:eastAsia="標楷體" w:hAnsi="Times New Roman" w:cs="Times New Roman"/>
          <w:spacing w:val="20"/>
          <w:sz w:val="32"/>
          <w:szCs w:val="32"/>
        </w:rPr>
        <w:t>XX</w:t>
      </w:r>
      <w:r w:rsidRPr="004F5ADE">
        <w:rPr>
          <w:rFonts w:ascii="Times New Roman" w:eastAsia="標楷體" w:cs="Times New Roman"/>
          <w:spacing w:val="20"/>
          <w:sz w:val="32"/>
          <w:szCs w:val="32"/>
        </w:rPr>
        <w:t>產業之公司購買應收帳款，再發行商業本票予不同之投資方；合併公司未持有任何其發行之商業本票。綜上，合併公司認為未具有主導該證券化載具之</w:t>
      </w:r>
      <w:proofErr w:type="gramStart"/>
      <w:r w:rsidRPr="004F5ADE">
        <w:rPr>
          <w:rFonts w:ascii="Times New Roman" w:eastAsia="標楷體" w:cs="Times New Roman"/>
          <w:spacing w:val="20"/>
          <w:sz w:val="32"/>
          <w:szCs w:val="32"/>
        </w:rPr>
        <w:t>攸</w:t>
      </w:r>
      <w:proofErr w:type="gramEnd"/>
      <w:r w:rsidRPr="004F5ADE">
        <w:rPr>
          <w:rFonts w:ascii="Times New Roman" w:eastAsia="標楷體" w:cs="Times New Roman"/>
          <w:spacing w:val="20"/>
          <w:sz w:val="32"/>
          <w:szCs w:val="32"/>
        </w:rPr>
        <w:t>關活動之權力</w:t>
      </w:r>
      <w:r w:rsidR="00340212">
        <w:rPr>
          <w:rStyle w:val="ad"/>
          <w:rFonts w:ascii="Times New Roman" w:eastAsia="標楷體" w:cs="Times New Roman"/>
          <w:spacing w:val="20"/>
          <w:sz w:val="32"/>
          <w:szCs w:val="32"/>
        </w:rPr>
        <w:footnoteReference w:id="3"/>
      </w:r>
      <w:r w:rsidRPr="004F5ADE">
        <w:rPr>
          <w:rFonts w:ascii="Times New Roman" w:eastAsia="標楷體" w:cs="Times New Roman"/>
          <w:spacing w:val="20"/>
          <w:sz w:val="32"/>
          <w:szCs w:val="32"/>
        </w:rPr>
        <w:t>。</w:t>
      </w:r>
      <w:r w:rsidRPr="004F5ADE">
        <w:rPr>
          <w:rFonts w:ascii="Times New Roman" w:eastAsia="標楷體" w:hAnsi="Times New Roman" w:cs="Times New Roman" w:hint="eastAsia"/>
          <w:b/>
          <w:color w:val="0033CC"/>
          <w:spacing w:val="20"/>
          <w:szCs w:val="24"/>
        </w:rPr>
        <w:t>(IFRS 12.</w:t>
      </w:r>
      <w:r w:rsidR="00020718">
        <w:rPr>
          <w:rFonts w:ascii="Times New Roman" w:eastAsia="標楷體" w:hAnsi="Times New Roman" w:cs="Times New Roman" w:hint="eastAsia"/>
          <w:b/>
          <w:color w:val="0033CC"/>
          <w:spacing w:val="20"/>
          <w:szCs w:val="24"/>
        </w:rPr>
        <w:t>7</w:t>
      </w:r>
      <w:r w:rsidR="00B244C6">
        <w:rPr>
          <w:rFonts w:ascii="Times New Roman" w:eastAsia="標楷體" w:hAnsi="Times New Roman" w:cs="Times New Roman" w:hint="eastAsia"/>
          <w:b/>
          <w:color w:val="0033CC"/>
          <w:spacing w:val="20"/>
          <w:szCs w:val="24"/>
        </w:rPr>
        <w:t xml:space="preserve">-9, </w:t>
      </w:r>
      <w:r>
        <w:rPr>
          <w:rFonts w:ascii="Times New Roman" w:eastAsia="標楷體" w:hAnsi="Times New Roman" w:cs="Times New Roman" w:hint="eastAsia"/>
          <w:b/>
          <w:color w:val="0033CC"/>
          <w:spacing w:val="20"/>
          <w:szCs w:val="24"/>
        </w:rPr>
        <w:t>IAS 1.</w:t>
      </w:r>
      <w:r w:rsidR="000B046A">
        <w:rPr>
          <w:rFonts w:ascii="Times New Roman" w:eastAsia="標楷體" w:hAnsi="Times New Roman" w:cs="Times New Roman" w:hint="eastAsia"/>
          <w:b/>
          <w:color w:val="0033CC"/>
          <w:spacing w:val="20"/>
          <w:szCs w:val="24"/>
        </w:rPr>
        <w:t>122</w:t>
      </w:r>
      <w:r w:rsidRPr="004F5ADE">
        <w:rPr>
          <w:rFonts w:ascii="Times New Roman" w:eastAsia="標楷體" w:hAnsi="Times New Roman" w:cs="Times New Roman" w:hint="eastAsia"/>
          <w:b/>
          <w:color w:val="0033CC"/>
          <w:spacing w:val="20"/>
          <w:szCs w:val="24"/>
        </w:rPr>
        <w:t>)</w:t>
      </w:r>
    </w:p>
    <w:p w:rsidR="000B046A" w:rsidRPr="00DC38C7" w:rsidRDefault="000B046A" w:rsidP="000B046A">
      <w:pPr>
        <w:pStyle w:val="a7"/>
        <w:numPr>
          <w:ilvl w:val="0"/>
          <w:numId w:val="17"/>
        </w:numPr>
        <w:spacing w:before="100" w:beforeAutospacing="1" w:after="100" w:afterAutospacing="1" w:line="400" w:lineRule="exact"/>
        <w:ind w:leftChars="0"/>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揭露釋例</w:t>
      </w:r>
      <w:proofErr w:type="gramEnd"/>
      <w:r>
        <w:rPr>
          <w:rFonts w:ascii="Times New Roman" w:eastAsia="標楷體" w:hAnsi="Times New Roman" w:cs="Times New Roman" w:hint="eastAsia"/>
          <w:sz w:val="32"/>
          <w:szCs w:val="32"/>
        </w:rPr>
        <w:t>二</w:t>
      </w:r>
    </w:p>
    <w:p w:rsidR="000B046A" w:rsidRPr="000B046A" w:rsidRDefault="00276057" w:rsidP="00CA62B0">
      <w:pPr>
        <w:pStyle w:val="a7"/>
        <w:widowControl/>
        <w:spacing w:beforeLines="50" w:afterLines="50" w:line="368" w:lineRule="exact"/>
        <w:ind w:leftChars="0" w:left="1068"/>
        <w:jc w:val="both"/>
        <w:rPr>
          <w:rFonts w:ascii="Times New Roman" w:eastAsia="標楷體" w:hAnsi="Times New Roman" w:cs="Times New Roman"/>
          <w:spacing w:val="20"/>
          <w:sz w:val="32"/>
          <w:szCs w:val="32"/>
        </w:rPr>
      </w:pPr>
      <w:r>
        <w:rPr>
          <w:rFonts w:ascii="Times New Roman" w:eastAsia="標楷體" w:hAnsi="Times New Roman" w:cs="Times New Roman" w:hint="eastAsia"/>
          <w:spacing w:val="20"/>
          <w:sz w:val="32"/>
          <w:szCs w:val="32"/>
        </w:rPr>
        <w:t>X.</w:t>
      </w:r>
      <w:r w:rsidR="000B046A" w:rsidRPr="000B046A">
        <w:rPr>
          <w:rFonts w:ascii="Times New Roman" w:eastAsia="標楷體" w:hAnsi="Times New Roman" w:cs="Times New Roman" w:hint="eastAsia"/>
          <w:spacing w:val="20"/>
          <w:sz w:val="32"/>
          <w:szCs w:val="32"/>
        </w:rPr>
        <w:t>參與未納入合併報告之結構型個體</w:t>
      </w:r>
    </w:p>
    <w:p w:rsidR="000B046A" w:rsidRPr="000B046A" w:rsidRDefault="000B046A" w:rsidP="000B046A">
      <w:pPr>
        <w:pStyle w:val="a7"/>
        <w:spacing w:before="100" w:beforeAutospacing="1" w:after="100" w:afterAutospacing="1" w:line="400" w:lineRule="exact"/>
        <w:ind w:leftChars="0" w:left="1418" w:firstLineChars="196" w:firstLine="706"/>
        <w:rPr>
          <w:rFonts w:eastAsia="標楷體"/>
          <w:spacing w:val="20"/>
          <w:sz w:val="32"/>
          <w:szCs w:val="32"/>
        </w:rPr>
      </w:pPr>
      <w:r w:rsidRPr="000B046A">
        <w:rPr>
          <w:rFonts w:eastAsia="標楷體" w:hint="eastAsia"/>
          <w:spacing w:val="20"/>
          <w:sz w:val="32"/>
          <w:szCs w:val="32"/>
        </w:rPr>
        <w:t>合併公司持有下列類型未</w:t>
      </w:r>
      <w:r w:rsidRPr="000B046A">
        <w:rPr>
          <w:rFonts w:ascii="Times New Roman" w:eastAsia="標楷體" w:cs="Times New Roman" w:hint="eastAsia"/>
          <w:spacing w:val="20"/>
          <w:sz w:val="32"/>
          <w:szCs w:val="32"/>
        </w:rPr>
        <w:t>納入</w:t>
      </w:r>
      <w:r w:rsidRPr="000B046A">
        <w:rPr>
          <w:rFonts w:eastAsia="標楷體" w:hint="eastAsia"/>
          <w:spacing w:val="20"/>
          <w:sz w:val="32"/>
          <w:szCs w:val="32"/>
        </w:rPr>
        <w:t>合併財務報告之結構型個體之權益：</w:t>
      </w:r>
      <w:r w:rsidRPr="00EF2451">
        <w:rPr>
          <w:rFonts w:ascii="Times New Roman" w:eastAsia="標楷體" w:hAnsi="Times New Roman" w:cs="Times New Roman" w:hint="eastAsia"/>
          <w:b/>
          <w:color w:val="0033CC"/>
          <w:spacing w:val="20"/>
          <w:szCs w:val="24"/>
        </w:rPr>
        <w:t>(IFRS 12.26)</w:t>
      </w:r>
    </w:p>
    <w:tbl>
      <w:tblPr>
        <w:tblStyle w:val="af7"/>
        <w:tblW w:w="7654"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701"/>
        <w:gridCol w:w="283"/>
        <w:gridCol w:w="2977"/>
        <w:gridCol w:w="304"/>
        <w:gridCol w:w="2389"/>
      </w:tblGrid>
      <w:tr w:rsidR="000B046A" w:rsidRPr="000B046A" w:rsidTr="00EF2451">
        <w:tc>
          <w:tcPr>
            <w:tcW w:w="1701" w:type="dxa"/>
            <w:tcBorders>
              <w:bottom w:val="single" w:sz="4" w:space="0" w:color="auto"/>
            </w:tcBorders>
            <w:vAlign w:val="bottom"/>
          </w:tcPr>
          <w:p w:rsidR="000B046A" w:rsidRPr="000B046A" w:rsidRDefault="000B046A" w:rsidP="00EF2451">
            <w:pPr>
              <w:pStyle w:val="a7"/>
              <w:spacing w:before="100" w:beforeAutospacing="1" w:after="100" w:afterAutospacing="1" w:line="400" w:lineRule="exact"/>
              <w:ind w:leftChars="-1" w:left="-2" w:firstLine="1"/>
              <w:jc w:val="center"/>
              <w:rPr>
                <w:rFonts w:eastAsia="標楷體"/>
                <w:spacing w:val="20"/>
                <w:sz w:val="32"/>
                <w:szCs w:val="32"/>
              </w:rPr>
            </w:pPr>
            <w:r w:rsidRPr="000B046A">
              <w:rPr>
                <w:rFonts w:eastAsia="標楷體" w:hint="eastAsia"/>
                <w:spacing w:val="20"/>
                <w:sz w:val="32"/>
                <w:szCs w:val="32"/>
              </w:rPr>
              <w:t>結構型個體之類型</w:t>
            </w:r>
          </w:p>
        </w:tc>
        <w:tc>
          <w:tcPr>
            <w:tcW w:w="283" w:type="dxa"/>
          </w:tcPr>
          <w:p w:rsidR="000B046A" w:rsidRPr="000B046A" w:rsidRDefault="000B046A" w:rsidP="00CA62B0">
            <w:pPr>
              <w:widowControl/>
              <w:spacing w:beforeLines="50" w:afterLines="50" w:line="240" w:lineRule="exact"/>
              <w:jc w:val="center"/>
              <w:rPr>
                <w:rFonts w:eastAsia="標楷體"/>
                <w:spacing w:val="20"/>
                <w:sz w:val="32"/>
                <w:szCs w:val="32"/>
              </w:rPr>
            </w:pPr>
          </w:p>
        </w:tc>
        <w:tc>
          <w:tcPr>
            <w:tcW w:w="2977" w:type="dxa"/>
            <w:tcBorders>
              <w:bottom w:val="single" w:sz="4" w:space="0" w:color="auto"/>
            </w:tcBorders>
            <w:vAlign w:val="bottom"/>
          </w:tcPr>
          <w:p w:rsidR="000B046A" w:rsidRPr="000B046A" w:rsidRDefault="000B046A" w:rsidP="0078333A">
            <w:pPr>
              <w:pStyle w:val="a7"/>
              <w:spacing w:before="100" w:beforeAutospacing="1" w:after="100" w:afterAutospacing="1" w:line="400" w:lineRule="exact"/>
              <w:ind w:leftChars="-1" w:left="-2" w:firstLine="1"/>
              <w:jc w:val="center"/>
              <w:rPr>
                <w:rFonts w:eastAsia="標楷體"/>
                <w:spacing w:val="20"/>
                <w:sz w:val="32"/>
                <w:szCs w:val="32"/>
              </w:rPr>
            </w:pPr>
            <w:r w:rsidRPr="000B046A">
              <w:rPr>
                <w:rFonts w:eastAsia="標楷體" w:hint="eastAsia"/>
                <w:spacing w:val="20"/>
                <w:sz w:val="32"/>
                <w:szCs w:val="32"/>
              </w:rPr>
              <w:t>性質</w:t>
            </w:r>
            <w:r w:rsidR="0078333A">
              <w:rPr>
                <w:rFonts w:eastAsia="標楷體" w:hint="eastAsia"/>
                <w:spacing w:val="20"/>
                <w:sz w:val="32"/>
                <w:szCs w:val="32"/>
              </w:rPr>
              <w:t>及</w:t>
            </w:r>
            <w:r w:rsidRPr="000B046A">
              <w:rPr>
                <w:rFonts w:eastAsia="標楷體" w:hint="eastAsia"/>
                <w:spacing w:val="20"/>
                <w:sz w:val="32"/>
                <w:szCs w:val="32"/>
              </w:rPr>
              <w:t>目的</w:t>
            </w:r>
          </w:p>
        </w:tc>
        <w:tc>
          <w:tcPr>
            <w:tcW w:w="304" w:type="dxa"/>
          </w:tcPr>
          <w:p w:rsidR="000B046A" w:rsidRPr="000B046A" w:rsidRDefault="000B046A" w:rsidP="00CA62B0">
            <w:pPr>
              <w:widowControl/>
              <w:spacing w:beforeLines="50" w:afterLines="50" w:line="240" w:lineRule="exact"/>
              <w:jc w:val="center"/>
              <w:rPr>
                <w:rFonts w:eastAsia="標楷體"/>
                <w:spacing w:val="20"/>
                <w:sz w:val="32"/>
                <w:szCs w:val="32"/>
              </w:rPr>
            </w:pPr>
          </w:p>
        </w:tc>
        <w:tc>
          <w:tcPr>
            <w:tcW w:w="2389" w:type="dxa"/>
            <w:tcBorders>
              <w:bottom w:val="single" w:sz="4" w:space="0" w:color="auto"/>
            </w:tcBorders>
            <w:vAlign w:val="bottom"/>
          </w:tcPr>
          <w:p w:rsidR="000B046A" w:rsidRPr="000B046A" w:rsidRDefault="000B046A" w:rsidP="00EF2451">
            <w:pPr>
              <w:pStyle w:val="a7"/>
              <w:spacing w:before="100" w:beforeAutospacing="1" w:after="100" w:afterAutospacing="1" w:line="400" w:lineRule="exact"/>
              <w:ind w:leftChars="-1" w:left="-2" w:firstLine="1"/>
              <w:jc w:val="center"/>
              <w:rPr>
                <w:rFonts w:eastAsia="標楷體"/>
                <w:spacing w:val="20"/>
                <w:sz w:val="32"/>
                <w:szCs w:val="32"/>
              </w:rPr>
            </w:pPr>
            <w:r w:rsidRPr="000B046A">
              <w:rPr>
                <w:rFonts w:eastAsia="標楷體" w:hint="eastAsia"/>
                <w:spacing w:val="20"/>
                <w:sz w:val="32"/>
                <w:szCs w:val="32"/>
              </w:rPr>
              <w:t>合併公司</w:t>
            </w:r>
            <w:r w:rsidR="00EF2451">
              <w:rPr>
                <w:rFonts w:eastAsia="標楷體"/>
                <w:spacing w:val="20"/>
                <w:sz w:val="32"/>
                <w:szCs w:val="32"/>
              </w:rPr>
              <w:br/>
            </w:r>
            <w:r w:rsidRPr="000B046A">
              <w:rPr>
                <w:rFonts w:eastAsia="標楷體" w:hint="eastAsia"/>
                <w:spacing w:val="20"/>
                <w:sz w:val="32"/>
                <w:szCs w:val="32"/>
              </w:rPr>
              <w:t>擁有之權益</w:t>
            </w:r>
          </w:p>
        </w:tc>
      </w:tr>
      <w:tr w:rsidR="000B046A" w:rsidRPr="000B046A" w:rsidTr="0078333A">
        <w:trPr>
          <w:trHeight w:val="3995"/>
        </w:trPr>
        <w:tc>
          <w:tcPr>
            <w:tcW w:w="1701" w:type="dxa"/>
            <w:tcBorders>
              <w:top w:val="single" w:sz="4" w:space="0" w:color="auto"/>
            </w:tcBorders>
          </w:tcPr>
          <w:p w:rsidR="000B046A" w:rsidRPr="000B046A" w:rsidRDefault="000B046A" w:rsidP="000B046A">
            <w:pPr>
              <w:pStyle w:val="a7"/>
              <w:spacing w:before="100" w:beforeAutospacing="1" w:after="100" w:afterAutospacing="1" w:line="400" w:lineRule="exact"/>
              <w:ind w:leftChars="-1" w:left="-2" w:firstLine="1"/>
              <w:rPr>
                <w:rFonts w:eastAsia="標楷體"/>
                <w:spacing w:val="20"/>
                <w:sz w:val="32"/>
                <w:szCs w:val="32"/>
              </w:rPr>
            </w:pPr>
            <w:r w:rsidRPr="000B046A">
              <w:rPr>
                <w:rFonts w:eastAsia="標楷體" w:hint="eastAsia"/>
                <w:spacing w:val="20"/>
                <w:sz w:val="32"/>
                <w:szCs w:val="32"/>
              </w:rPr>
              <w:t>放款及墊款之證券化載具（詳附註</w:t>
            </w:r>
            <w:r w:rsidRPr="000B046A">
              <w:rPr>
                <w:rFonts w:eastAsia="標楷體" w:hint="eastAsia"/>
                <w:spacing w:val="20"/>
                <w:sz w:val="32"/>
                <w:szCs w:val="32"/>
              </w:rPr>
              <w:t>X</w:t>
            </w:r>
            <w:r w:rsidRPr="000B046A">
              <w:rPr>
                <w:rFonts w:eastAsia="標楷體" w:hint="eastAsia"/>
                <w:spacing w:val="20"/>
                <w:sz w:val="32"/>
                <w:szCs w:val="32"/>
              </w:rPr>
              <w:t>）</w:t>
            </w:r>
          </w:p>
        </w:tc>
        <w:tc>
          <w:tcPr>
            <w:tcW w:w="283" w:type="dxa"/>
          </w:tcPr>
          <w:p w:rsidR="000B046A" w:rsidRPr="000B046A" w:rsidRDefault="000B046A" w:rsidP="00CA62B0">
            <w:pPr>
              <w:pStyle w:val="a7"/>
              <w:widowControl/>
              <w:spacing w:beforeLines="50" w:afterLines="50"/>
              <w:ind w:leftChars="0" w:left="160"/>
              <w:jc w:val="both"/>
              <w:rPr>
                <w:rFonts w:eastAsia="標楷體"/>
                <w:spacing w:val="20"/>
                <w:sz w:val="32"/>
                <w:szCs w:val="32"/>
              </w:rPr>
            </w:pPr>
          </w:p>
        </w:tc>
        <w:tc>
          <w:tcPr>
            <w:tcW w:w="2977" w:type="dxa"/>
            <w:tcBorders>
              <w:top w:val="single" w:sz="4" w:space="0" w:color="auto"/>
            </w:tcBorders>
          </w:tcPr>
          <w:p w:rsidR="000B046A" w:rsidRPr="000B046A"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0B046A">
              <w:rPr>
                <w:rFonts w:eastAsia="標楷體" w:hint="eastAsia"/>
                <w:spacing w:val="20"/>
                <w:sz w:val="32"/>
                <w:szCs w:val="32"/>
              </w:rPr>
              <w:t>提供</w:t>
            </w:r>
            <w:r w:rsidRPr="000B046A">
              <w:rPr>
                <w:rFonts w:eastAsia="標楷體" w:hint="eastAsia"/>
                <w:snapToGrid w:val="0"/>
                <w:spacing w:val="20"/>
                <w:sz w:val="32"/>
                <w:szCs w:val="32"/>
              </w:rPr>
              <w:t>資金</w:t>
            </w:r>
            <w:r w:rsidRPr="000B046A">
              <w:rPr>
                <w:rFonts w:eastAsia="標楷體" w:hint="eastAsia"/>
                <w:spacing w:val="20"/>
                <w:sz w:val="32"/>
                <w:szCs w:val="32"/>
              </w:rPr>
              <w:t>予合併公司之放款業務</w:t>
            </w:r>
          </w:p>
          <w:p w:rsidR="000B046A" w:rsidRPr="000B046A"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0B046A">
              <w:rPr>
                <w:rFonts w:eastAsia="標楷體" w:hint="eastAsia"/>
                <w:spacing w:val="20"/>
                <w:sz w:val="32"/>
                <w:szCs w:val="32"/>
              </w:rPr>
              <w:t>銷售資產予投資人以產生利潤</w:t>
            </w:r>
          </w:p>
          <w:p w:rsidR="000B046A" w:rsidRPr="000B046A"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0B046A">
              <w:rPr>
                <w:rFonts w:eastAsia="標楷體" w:hint="eastAsia"/>
                <w:spacing w:val="20"/>
                <w:sz w:val="32"/>
                <w:szCs w:val="32"/>
              </w:rPr>
              <w:t>提供貸款服務以產生服務費</w:t>
            </w:r>
          </w:p>
          <w:p w:rsidR="00826B0D" w:rsidRPr="000B046A" w:rsidRDefault="000B046A" w:rsidP="0078333A">
            <w:pPr>
              <w:spacing w:before="100" w:beforeAutospacing="1" w:after="100" w:afterAutospacing="1" w:line="400" w:lineRule="exact"/>
              <w:ind w:left="139"/>
              <w:rPr>
                <w:rFonts w:eastAsia="標楷體"/>
                <w:spacing w:val="20"/>
                <w:sz w:val="32"/>
                <w:szCs w:val="32"/>
              </w:rPr>
            </w:pPr>
            <w:r w:rsidRPr="000B046A">
              <w:rPr>
                <w:rFonts w:eastAsia="標楷體" w:hint="eastAsia"/>
                <w:spacing w:val="20"/>
                <w:sz w:val="32"/>
                <w:szCs w:val="32"/>
              </w:rPr>
              <w:t>上述</w:t>
            </w:r>
            <w:proofErr w:type="gramStart"/>
            <w:r w:rsidRPr="000B046A">
              <w:rPr>
                <w:rFonts w:eastAsia="標楷體" w:hint="eastAsia"/>
                <w:spacing w:val="20"/>
                <w:sz w:val="32"/>
                <w:szCs w:val="32"/>
              </w:rPr>
              <w:t>載具係以</w:t>
            </w:r>
            <w:proofErr w:type="gramEnd"/>
            <w:r w:rsidRPr="000B046A">
              <w:rPr>
                <w:rFonts w:eastAsia="標楷體" w:hint="eastAsia"/>
                <w:spacing w:val="20"/>
                <w:sz w:val="32"/>
                <w:szCs w:val="32"/>
              </w:rPr>
              <w:t>發行債券予投資人之方式籌資。</w:t>
            </w:r>
          </w:p>
        </w:tc>
        <w:tc>
          <w:tcPr>
            <w:tcW w:w="304" w:type="dxa"/>
          </w:tcPr>
          <w:p w:rsidR="000B046A" w:rsidRPr="000B046A" w:rsidRDefault="000B046A" w:rsidP="00CA62B0">
            <w:pPr>
              <w:pStyle w:val="a7"/>
              <w:widowControl/>
              <w:spacing w:beforeLines="50" w:afterLines="50"/>
              <w:ind w:leftChars="0" w:left="175"/>
              <w:jc w:val="both"/>
              <w:rPr>
                <w:rFonts w:eastAsia="標楷體"/>
                <w:spacing w:val="20"/>
                <w:sz w:val="32"/>
                <w:szCs w:val="32"/>
              </w:rPr>
            </w:pPr>
          </w:p>
        </w:tc>
        <w:tc>
          <w:tcPr>
            <w:tcW w:w="2389" w:type="dxa"/>
            <w:tcBorders>
              <w:top w:val="single" w:sz="4" w:space="0" w:color="auto"/>
            </w:tcBorders>
          </w:tcPr>
          <w:p w:rsidR="000B046A" w:rsidRPr="000B046A"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0B046A">
              <w:rPr>
                <w:rFonts w:eastAsia="標楷體" w:hint="eastAsia"/>
                <w:spacing w:val="20"/>
                <w:sz w:val="32"/>
                <w:szCs w:val="32"/>
              </w:rPr>
              <w:t>投資該等載具所發行之債券</w:t>
            </w:r>
          </w:p>
          <w:p w:rsidR="000B046A" w:rsidRPr="000B046A"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0B046A">
              <w:rPr>
                <w:rFonts w:eastAsia="標楷體" w:hint="eastAsia"/>
                <w:spacing w:val="20"/>
                <w:sz w:val="32"/>
                <w:szCs w:val="32"/>
              </w:rPr>
              <w:t>貸款服務費</w:t>
            </w:r>
          </w:p>
          <w:p w:rsidR="000B046A" w:rsidRPr="000B046A" w:rsidRDefault="000B046A" w:rsidP="00CA62B0">
            <w:pPr>
              <w:widowControl/>
              <w:spacing w:beforeLines="50" w:afterLines="50" w:line="240" w:lineRule="auto"/>
              <w:jc w:val="both"/>
              <w:rPr>
                <w:rFonts w:eastAsia="標楷體"/>
                <w:color w:val="0000FF"/>
                <w:spacing w:val="20"/>
                <w:sz w:val="32"/>
                <w:szCs w:val="32"/>
              </w:rPr>
            </w:pPr>
          </w:p>
        </w:tc>
      </w:tr>
      <w:tr w:rsidR="000B046A" w:rsidRPr="000B046A" w:rsidTr="00EF2451">
        <w:tc>
          <w:tcPr>
            <w:tcW w:w="1701" w:type="dxa"/>
          </w:tcPr>
          <w:p w:rsidR="000B046A" w:rsidRPr="009C74EF" w:rsidRDefault="002A44C1" w:rsidP="001D0E54">
            <w:pPr>
              <w:pStyle w:val="a7"/>
              <w:spacing w:before="100" w:beforeAutospacing="1" w:after="100" w:afterAutospacing="1" w:line="400" w:lineRule="exact"/>
              <w:ind w:leftChars="-1" w:left="-2" w:firstLine="1"/>
              <w:rPr>
                <w:rFonts w:eastAsia="標楷體"/>
                <w:spacing w:val="20"/>
                <w:sz w:val="32"/>
                <w:szCs w:val="32"/>
              </w:rPr>
            </w:pPr>
            <w:r w:rsidRPr="009C74EF">
              <w:rPr>
                <w:rFonts w:eastAsia="標楷體" w:hint="eastAsia"/>
                <w:spacing w:val="20"/>
                <w:sz w:val="32"/>
                <w:szCs w:val="32"/>
              </w:rPr>
              <w:t>私募</w:t>
            </w:r>
            <w:r w:rsidR="000B046A" w:rsidRPr="009C74EF">
              <w:rPr>
                <w:rFonts w:eastAsia="標楷體" w:hint="eastAsia"/>
                <w:spacing w:val="20"/>
                <w:sz w:val="32"/>
                <w:szCs w:val="32"/>
              </w:rPr>
              <w:t>投資基金</w:t>
            </w:r>
          </w:p>
        </w:tc>
        <w:tc>
          <w:tcPr>
            <w:tcW w:w="283" w:type="dxa"/>
          </w:tcPr>
          <w:p w:rsidR="000B046A" w:rsidRPr="009C74EF" w:rsidRDefault="000B046A" w:rsidP="00CA62B0">
            <w:pPr>
              <w:widowControl/>
              <w:spacing w:beforeLines="50" w:afterLines="50" w:line="240" w:lineRule="auto"/>
              <w:jc w:val="both"/>
              <w:rPr>
                <w:rFonts w:eastAsia="標楷體"/>
                <w:spacing w:val="20"/>
                <w:sz w:val="32"/>
                <w:szCs w:val="32"/>
              </w:rPr>
            </w:pPr>
          </w:p>
        </w:tc>
        <w:tc>
          <w:tcPr>
            <w:tcW w:w="2977" w:type="dxa"/>
          </w:tcPr>
          <w:p w:rsidR="002A44C1" w:rsidRPr="009C74EF" w:rsidRDefault="000B046A" w:rsidP="0078333A">
            <w:pPr>
              <w:spacing w:before="100" w:beforeAutospacing="1" w:after="100" w:afterAutospacing="1" w:line="400" w:lineRule="exact"/>
              <w:ind w:left="139"/>
              <w:rPr>
                <w:rFonts w:eastAsia="標楷體"/>
                <w:spacing w:val="20"/>
                <w:sz w:val="32"/>
                <w:szCs w:val="32"/>
              </w:rPr>
            </w:pPr>
            <w:r w:rsidRPr="009C74EF">
              <w:rPr>
                <w:rFonts w:eastAsia="標楷體" w:hint="eastAsia"/>
                <w:spacing w:val="20"/>
                <w:sz w:val="32"/>
                <w:szCs w:val="32"/>
              </w:rPr>
              <w:t>受第三方投資人委託管理資產以產生管理費。該等</w:t>
            </w:r>
            <w:proofErr w:type="gramStart"/>
            <w:r w:rsidRPr="009C74EF">
              <w:rPr>
                <w:rFonts w:eastAsia="標楷體" w:hint="eastAsia"/>
                <w:spacing w:val="20"/>
                <w:sz w:val="32"/>
                <w:szCs w:val="32"/>
              </w:rPr>
              <w:t>載具係以</w:t>
            </w:r>
            <w:proofErr w:type="gramEnd"/>
            <w:r w:rsidRPr="009C74EF">
              <w:rPr>
                <w:rFonts w:eastAsia="標楷體" w:hint="eastAsia"/>
                <w:spacing w:val="20"/>
                <w:sz w:val="32"/>
                <w:szCs w:val="32"/>
              </w:rPr>
              <w:t>發行基金（單位）予投資人之方式籌資。</w:t>
            </w:r>
          </w:p>
        </w:tc>
        <w:tc>
          <w:tcPr>
            <w:tcW w:w="304" w:type="dxa"/>
          </w:tcPr>
          <w:p w:rsidR="000B046A" w:rsidRPr="009C74EF" w:rsidRDefault="000B046A" w:rsidP="00CA62B0">
            <w:pPr>
              <w:widowControl/>
              <w:spacing w:beforeLines="50" w:afterLines="50" w:line="240" w:lineRule="auto"/>
              <w:jc w:val="both"/>
              <w:rPr>
                <w:rFonts w:eastAsia="標楷體" w:hAnsi="Calibri"/>
                <w:spacing w:val="20"/>
                <w:kern w:val="2"/>
                <w:sz w:val="32"/>
                <w:szCs w:val="32"/>
              </w:rPr>
            </w:pPr>
          </w:p>
        </w:tc>
        <w:tc>
          <w:tcPr>
            <w:tcW w:w="2389" w:type="dxa"/>
          </w:tcPr>
          <w:p w:rsidR="000B046A" w:rsidRPr="009C74EF"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9C74EF">
              <w:rPr>
                <w:rFonts w:eastAsia="標楷體" w:hint="eastAsia"/>
                <w:spacing w:val="20"/>
                <w:sz w:val="32"/>
                <w:szCs w:val="32"/>
              </w:rPr>
              <w:t>投資該等基金發行之單位</w:t>
            </w:r>
          </w:p>
          <w:p w:rsidR="000B046A" w:rsidRPr="009C74EF" w:rsidRDefault="000B046A" w:rsidP="000B046A">
            <w:pPr>
              <w:pStyle w:val="a7"/>
              <w:numPr>
                <w:ilvl w:val="0"/>
                <w:numId w:val="19"/>
              </w:numPr>
              <w:spacing w:before="100" w:beforeAutospacing="1" w:after="100" w:afterAutospacing="1" w:line="400" w:lineRule="exact"/>
              <w:ind w:leftChars="0" w:left="426" w:hanging="287"/>
              <w:rPr>
                <w:rFonts w:eastAsia="標楷體"/>
                <w:spacing w:val="20"/>
                <w:sz w:val="32"/>
                <w:szCs w:val="32"/>
              </w:rPr>
            </w:pPr>
            <w:r w:rsidRPr="009C74EF">
              <w:rPr>
                <w:rFonts w:eastAsia="標楷體" w:hint="eastAsia"/>
                <w:spacing w:val="20"/>
                <w:sz w:val="32"/>
                <w:szCs w:val="32"/>
              </w:rPr>
              <w:t>管理費</w:t>
            </w:r>
            <w:r w:rsidR="009C74EF">
              <w:rPr>
                <w:rStyle w:val="ad"/>
                <w:rFonts w:eastAsia="標楷體"/>
                <w:spacing w:val="20"/>
                <w:sz w:val="32"/>
                <w:szCs w:val="32"/>
              </w:rPr>
              <w:footnoteReference w:id="4"/>
            </w:r>
          </w:p>
        </w:tc>
      </w:tr>
    </w:tbl>
    <w:p w:rsidR="0078333A" w:rsidRDefault="0078333A" w:rsidP="0078333A">
      <w:pPr>
        <w:pStyle w:val="a7"/>
        <w:spacing w:before="100" w:beforeAutospacing="1" w:after="100" w:afterAutospacing="1" w:line="400" w:lineRule="exact"/>
        <w:ind w:leftChars="0" w:left="1418" w:firstLineChars="196" w:firstLine="706"/>
        <w:jc w:val="both"/>
        <w:rPr>
          <w:rFonts w:ascii="Times New Roman" w:eastAsia="標楷體" w:cs="Times New Roman"/>
          <w:spacing w:val="20"/>
          <w:sz w:val="32"/>
          <w:szCs w:val="32"/>
        </w:rPr>
      </w:pPr>
      <w:r w:rsidRPr="0074617E">
        <w:rPr>
          <w:rFonts w:ascii="Times New Roman" w:eastAsia="標楷體" w:cs="Times New Roman"/>
          <w:spacing w:val="20"/>
          <w:sz w:val="32"/>
          <w:szCs w:val="32"/>
        </w:rPr>
        <w:lastRenderedPageBreak/>
        <w:t>民國</w:t>
      </w:r>
      <w:r w:rsidRPr="0074617E">
        <w:rPr>
          <w:rFonts w:ascii="Times New Roman" w:eastAsia="標楷體" w:hAnsi="Times New Roman" w:cs="Times New Roman"/>
          <w:spacing w:val="20"/>
          <w:sz w:val="32"/>
          <w:szCs w:val="32"/>
        </w:rPr>
        <w:t>X2</w:t>
      </w:r>
      <w:r w:rsidRPr="0074617E">
        <w:rPr>
          <w:rFonts w:ascii="Times New Roman" w:eastAsia="標楷體" w:cs="Times New Roman"/>
          <w:spacing w:val="20"/>
          <w:sz w:val="32"/>
          <w:szCs w:val="32"/>
        </w:rPr>
        <w:t>年及</w:t>
      </w:r>
      <w:r w:rsidRPr="0074617E">
        <w:rPr>
          <w:rFonts w:ascii="Times New Roman" w:eastAsia="標楷體" w:hAnsi="Times New Roman" w:cs="Times New Roman"/>
          <w:spacing w:val="20"/>
          <w:sz w:val="32"/>
          <w:szCs w:val="32"/>
        </w:rPr>
        <w:t>X1</w:t>
      </w:r>
      <w:r w:rsidRPr="0074617E">
        <w:rPr>
          <w:rFonts w:ascii="Times New Roman" w:eastAsia="標楷體" w:cs="Times New Roman"/>
          <w:spacing w:val="20"/>
          <w:sz w:val="32"/>
          <w:szCs w:val="32"/>
        </w:rPr>
        <w:t>年十二月三十一日未納入合併財務報告結構型個體</w:t>
      </w:r>
      <w:r w:rsidRPr="0074617E">
        <w:rPr>
          <w:rFonts w:ascii="Times New Roman" w:eastAsia="標楷體" w:cs="Times New Roman" w:hint="eastAsia"/>
          <w:spacing w:val="20"/>
          <w:sz w:val="32"/>
          <w:szCs w:val="32"/>
        </w:rPr>
        <w:t>之總資產如下</w:t>
      </w:r>
      <w:fldSimple w:instr=" NOTEREF _Ref390850779 \h  \* MERGEFORMAT ">
        <w:r w:rsidR="007A1BD1" w:rsidRPr="007A1BD1">
          <w:rPr>
            <w:rFonts w:ascii="Times New Roman" w:eastAsia="標楷體" w:cs="Times New Roman"/>
            <w:spacing w:val="20"/>
            <w:sz w:val="32"/>
            <w:szCs w:val="32"/>
            <w:vertAlign w:val="superscript"/>
          </w:rPr>
          <w:t>2</w:t>
        </w:r>
      </w:fldSimple>
      <w:r w:rsidRPr="0074617E">
        <w:rPr>
          <w:rFonts w:ascii="Times New Roman" w:eastAsia="標楷體" w:cs="Times New Roman" w:hint="eastAsia"/>
          <w:spacing w:val="20"/>
          <w:sz w:val="32"/>
          <w:szCs w:val="32"/>
        </w:rPr>
        <w:t>：</w:t>
      </w:r>
      <w:r w:rsidRPr="00EF2451">
        <w:rPr>
          <w:rFonts w:ascii="Times New Roman" w:eastAsia="標楷體" w:hAnsi="Times New Roman" w:cs="Times New Roman" w:hint="eastAsia"/>
          <w:b/>
          <w:color w:val="0033CC"/>
          <w:spacing w:val="20"/>
          <w:szCs w:val="24"/>
        </w:rPr>
        <w:t>(IFRS 12.26)</w:t>
      </w:r>
    </w:p>
    <w:tbl>
      <w:tblPr>
        <w:tblStyle w:val="af7"/>
        <w:tblW w:w="83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457"/>
        <w:gridCol w:w="1416"/>
        <w:gridCol w:w="138"/>
        <w:gridCol w:w="1352"/>
      </w:tblGrid>
      <w:tr w:rsidR="0078333A" w:rsidRPr="0074617E" w:rsidTr="0078333A">
        <w:tc>
          <w:tcPr>
            <w:tcW w:w="5457" w:type="dxa"/>
          </w:tcPr>
          <w:p w:rsidR="0078333A" w:rsidRPr="00EF2451" w:rsidRDefault="0078333A" w:rsidP="00CA62B0">
            <w:pPr>
              <w:kinsoku w:val="0"/>
              <w:overflowPunct w:val="0"/>
              <w:autoSpaceDE w:val="0"/>
              <w:autoSpaceDN w:val="0"/>
              <w:spacing w:beforeLines="50"/>
              <w:jc w:val="both"/>
              <w:rPr>
                <w:rFonts w:eastAsia="標楷體"/>
                <w:snapToGrid w:val="0"/>
                <w:spacing w:val="20"/>
                <w:sz w:val="32"/>
                <w:szCs w:val="32"/>
              </w:rPr>
            </w:pPr>
          </w:p>
        </w:tc>
        <w:tc>
          <w:tcPr>
            <w:tcW w:w="1416" w:type="dxa"/>
            <w:tcBorders>
              <w:bottom w:val="single" w:sz="4" w:space="0" w:color="auto"/>
            </w:tcBorders>
          </w:tcPr>
          <w:p w:rsidR="0004572D" w:rsidRDefault="0078333A"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74617E">
              <w:rPr>
                <w:rFonts w:ascii="Times New Roman" w:cs="Times New Roman"/>
                <w:b/>
                <w:snapToGrid w:val="0"/>
                <w:color w:val="auto"/>
                <w:spacing w:val="20"/>
                <w:sz w:val="32"/>
                <w:szCs w:val="32"/>
              </w:rPr>
              <w:t>X2.12.31</w:t>
            </w:r>
          </w:p>
        </w:tc>
        <w:tc>
          <w:tcPr>
            <w:tcW w:w="138" w:type="dxa"/>
          </w:tcPr>
          <w:p w:rsidR="0004572D" w:rsidRDefault="0004572D"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p>
        </w:tc>
        <w:tc>
          <w:tcPr>
            <w:tcW w:w="1352" w:type="dxa"/>
            <w:tcBorders>
              <w:bottom w:val="single" w:sz="4" w:space="0" w:color="auto"/>
            </w:tcBorders>
          </w:tcPr>
          <w:p w:rsidR="0004572D" w:rsidRDefault="0078333A"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74617E">
              <w:rPr>
                <w:rFonts w:ascii="Times New Roman" w:cs="Times New Roman"/>
                <w:b/>
                <w:snapToGrid w:val="0"/>
                <w:color w:val="auto"/>
                <w:spacing w:val="20"/>
                <w:sz w:val="32"/>
                <w:szCs w:val="32"/>
              </w:rPr>
              <w:t>X1.12.31</w:t>
            </w:r>
          </w:p>
        </w:tc>
      </w:tr>
      <w:tr w:rsidR="0078333A" w:rsidRPr="0074617E" w:rsidTr="0078333A">
        <w:tc>
          <w:tcPr>
            <w:tcW w:w="5457" w:type="dxa"/>
          </w:tcPr>
          <w:p w:rsidR="0078333A" w:rsidRPr="0074617E" w:rsidRDefault="0078333A" w:rsidP="0078333A">
            <w:pPr>
              <w:pStyle w:val="a7"/>
              <w:spacing w:before="100" w:beforeAutospacing="1" w:after="100" w:afterAutospacing="1" w:line="400" w:lineRule="exact"/>
              <w:ind w:leftChars="0" w:left="1985"/>
              <w:rPr>
                <w:rFonts w:eastAsia="標楷體"/>
                <w:spacing w:val="20"/>
                <w:sz w:val="32"/>
                <w:szCs w:val="32"/>
              </w:rPr>
            </w:pPr>
            <w:r w:rsidRPr="0074617E">
              <w:rPr>
                <w:rFonts w:eastAsia="標楷體" w:hint="eastAsia"/>
                <w:spacing w:val="20"/>
                <w:sz w:val="32"/>
                <w:szCs w:val="32"/>
              </w:rPr>
              <w:t>放款及墊款之證券化載具</w:t>
            </w:r>
          </w:p>
        </w:tc>
        <w:tc>
          <w:tcPr>
            <w:tcW w:w="1416" w:type="dxa"/>
            <w:tcBorders>
              <w:top w:val="single" w:sz="4" w:space="0" w:color="auto"/>
              <w:left w:val="nil"/>
            </w:tcBorders>
          </w:tcPr>
          <w:p w:rsidR="0078333A" w:rsidRPr="0074617E" w:rsidRDefault="0078333A"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single" w:sz="4" w:space="0" w:color="auto"/>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78333A" w:rsidRPr="0074617E" w:rsidTr="0078333A">
        <w:tc>
          <w:tcPr>
            <w:tcW w:w="5457" w:type="dxa"/>
          </w:tcPr>
          <w:p w:rsidR="0078333A" w:rsidRPr="0074617E" w:rsidRDefault="0078333A" w:rsidP="0078333A">
            <w:pPr>
              <w:pStyle w:val="a7"/>
              <w:spacing w:before="100" w:beforeAutospacing="1" w:after="100" w:afterAutospacing="1" w:line="400" w:lineRule="exact"/>
              <w:ind w:leftChars="0" w:left="1985"/>
              <w:rPr>
                <w:rFonts w:eastAsia="標楷體"/>
                <w:snapToGrid w:val="0"/>
                <w:spacing w:val="20"/>
                <w:sz w:val="32"/>
                <w:szCs w:val="32"/>
              </w:rPr>
            </w:pPr>
            <w:r w:rsidRPr="0074617E">
              <w:rPr>
                <w:rFonts w:eastAsia="標楷體" w:hint="eastAsia"/>
                <w:spacing w:val="20"/>
                <w:sz w:val="32"/>
                <w:szCs w:val="32"/>
              </w:rPr>
              <w:t>私募投資基金</w:t>
            </w:r>
          </w:p>
        </w:tc>
        <w:tc>
          <w:tcPr>
            <w:tcW w:w="1416" w:type="dxa"/>
            <w:tcBorders>
              <w:left w:val="nil"/>
              <w:bottom w:val="single" w:sz="4" w:space="0" w:color="auto"/>
            </w:tcBorders>
          </w:tcPr>
          <w:p w:rsidR="0078333A" w:rsidRPr="0074617E" w:rsidRDefault="0078333A"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left w:val="nil"/>
              <w:bottom w:val="sing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78333A" w:rsidRPr="000B046A" w:rsidTr="0078333A">
        <w:trPr>
          <w:trHeight w:val="255"/>
        </w:trPr>
        <w:tc>
          <w:tcPr>
            <w:tcW w:w="5457" w:type="dxa"/>
          </w:tcPr>
          <w:p w:rsidR="0078333A" w:rsidRPr="000B046A" w:rsidRDefault="0078333A" w:rsidP="0078333A">
            <w:pPr>
              <w:pStyle w:val="a7"/>
              <w:spacing w:before="100" w:beforeAutospacing="1" w:after="100" w:afterAutospacing="1" w:line="400" w:lineRule="exact"/>
              <w:ind w:leftChars="0" w:left="1985"/>
              <w:rPr>
                <w:rFonts w:eastAsia="標楷體"/>
                <w:snapToGrid w:val="0"/>
                <w:spacing w:val="20"/>
                <w:sz w:val="32"/>
                <w:szCs w:val="32"/>
              </w:rPr>
            </w:pPr>
            <w:r w:rsidRPr="0074617E">
              <w:rPr>
                <w:rFonts w:eastAsia="標楷體" w:hint="eastAsia"/>
                <w:spacing w:val="20"/>
                <w:sz w:val="32"/>
                <w:szCs w:val="32"/>
              </w:rPr>
              <w:t>合計</w:t>
            </w:r>
          </w:p>
        </w:tc>
        <w:tc>
          <w:tcPr>
            <w:tcW w:w="1416" w:type="dxa"/>
            <w:tcBorders>
              <w:top w:val="single" w:sz="4" w:space="0" w:color="auto"/>
              <w:left w:val="nil"/>
              <w:bottom w:val="double" w:sz="4" w:space="0" w:color="auto"/>
            </w:tcBorders>
          </w:tcPr>
          <w:p w:rsidR="0078333A" w:rsidRPr="000B046A" w:rsidRDefault="0078333A"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sing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bl>
    <w:p w:rsidR="000B046A" w:rsidRPr="00EF2451" w:rsidRDefault="000B046A" w:rsidP="00EF2451">
      <w:pPr>
        <w:pStyle w:val="a7"/>
        <w:spacing w:before="100" w:beforeAutospacing="1" w:after="100" w:afterAutospacing="1" w:line="400" w:lineRule="exact"/>
        <w:ind w:leftChars="0" w:left="1418" w:firstLineChars="196" w:firstLine="706"/>
        <w:rPr>
          <w:rFonts w:ascii="Times New Roman" w:eastAsia="標楷體" w:hAnsi="Times New Roman" w:cs="Times New Roman"/>
          <w:sz w:val="32"/>
          <w:szCs w:val="32"/>
        </w:rPr>
      </w:pPr>
      <w:r w:rsidRPr="00EF2451">
        <w:rPr>
          <w:rFonts w:ascii="Times New Roman" w:eastAsia="標楷體" w:cs="Times New Roman"/>
          <w:spacing w:val="20"/>
          <w:sz w:val="32"/>
          <w:szCs w:val="32"/>
        </w:rPr>
        <w:t>合併公司於民國</w:t>
      </w:r>
      <w:r w:rsidRPr="00EF2451">
        <w:rPr>
          <w:rFonts w:ascii="Times New Roman" w:eastAsia="標楷體" w:hAnsi="Times New Roman" w:cs="Times New Roman"/>
          <w:spacing w:val="20"/>
          <w:sz w:val="32"/>
          <w:szCs w:val="32"/>
        </w:rPr>
        <w:t>X2</w:t>
      </w:r>
      <w:r w:rsidRPr="00EF2451">
        <w:rPr>
          <w:rFonts w:ascii="Times New Roman" w:eastAsia="標楷體" w:cs="Times New Roman"/>
          <w:spacing w:val="20"/>
          <w:sz w:val="32"/>
          <w:szCs w:val="32"/>
        </w:rPr>
        <w:t>年及</w:t>
      </w:r>
      <w:r w:rsidRPr="00EF2451">
        <w:rPr>
          <w:rFonts w:ascii="Times New Roman" w:eastAsia="標楷體" w:hAnsi="Times New Roman" w:cs="Times New Roman"/>
          <w:spacing w:val="20"/>
          <w:sz w:val="32"/>
          <w:szCs w:val="32"/>
        </w:rPr>
        <w:t>X1</w:t>
      </w:r>
      <w:r w:rsidRPr="00EF2451">
        <w:rPr>
          <w:rFonts w:ascii="Times New Roman" w:eastAsia="標楷體" w:cs="Times New Roman"/>
          <w:spacing w:val="20"/>
          <w:sz w:val="32"/>
          <w:szCs w:val="32"/>
        </w:rPr>
        <w:t>年十二月三十一日所認列與未納入合併財務報告之結構型個體權益有關之資產</w:t>
      </w:r>
      <w:proofErr w:type="gramStart"/>
      <w:r w:rsidRPr="00EF2451">
        <w:rPr>
          <w:rFonts w:ascii="Times New Roman" w:eastAsia="標楷體" w:cs="Times New Roman"/>
          <w:spacing w:val="20"/>
          <w:sz w:val="32"/>
          <w:szCs w:val="32"/>
        </w:rPr>
        <w:t>帳面</w:t>
      </w:r>
      <w:proofErr w:type="gramEnd"/>
      <w:r w:rsidRPr="00EF2451">
        <w:rPr>
          <w:rFonts w:ascii="Times New Roman" w:eastAsia="標楷體" w:cs="Times New Roman"/>
          <w:spacing w:val="20"/>
          <w:sz w:val="32"/>
          <w:szCs w:val="32"/>
        </w:rPr>
        <w:t>金額如下：</w:t>
      </w:r>
      <w:r w:rsidRPr="00EF2451">
        <w:rPr>
          <w:rFonts w:ascii="Times New Roman" w:eastAsia="標楷體" w:hAnsi="Times New Roman" w:cs="Times New Roman"/>
          <w:b/>
          <w:color w:val="0033CC"/>
          <w:spacing w:val="20"/>
          <w:szCs w:val="24"/>
        </w:rPr>
        <w:t>(IFRS 12.29)</w:t>
      </w:r>
    </w:p>
    <w:tbl>
      <w:tblPr>
        <w:tblStyle w:val="af7"/>
        <w:tblW w:w="83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457"/>
        <w:gridCol w:w="1416"/>
        <w:gridCol w:w="138"/>
        <w:gridCol w:w="1352"/>
      </w:tblGrid>
      <w:tr w:rsidR="000B046A" w:rsidRPr="00EF2451" w:rsidTr="00EF2451">
        <w:tc>
          <w:tcPr>
            <w:tcW w:w="5457" w:type="dxa"/>
          </w:tcPr>
          <w:p w:rsidR="000B046A" w:rsidRPr="00EF2451" w:rsidRDefault="000B046A" w:rsidP="00CA62B0">
            <w:pPr>
              <w:kinsoku w:val="0"/>
              <w:overflowPunct w:val="0"/>
              <w:autoSpaceDE w:val="0"/>
              <w:autoSpaceDN w:val="0"/>
              <w:spacing w:beforeLines="50"/>
              <w:jc w:val="both"/>
              <w:rPr>
                <w:rFonts w:eastAsia="標楷體"/>
                <w:snapToGrid w:val="0"/>
                <w:spacing w:val="20"/>
                <w:sz w:val="32"/>
                <w:szCs w:val="32"/>
              </w:rPr>
            </w:pPr>
          </w:p>
        </w:tc>
        <w:tc>
          <w:tcPr>
            <w:tcW w:w="1416" w:type="dxa"/>
            <w:tcBorders>
              <w:bottom w:val="single" w:sz="4" w:space="0" w:color="auto"/>
            </w:tcBorders>
          </w:tcPr>
          <w:p w:rsidR="0004572D" w:rsidRDefault="000B046A"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EF2451">
              <w:rPr>
                <w:rFonts w:ascii="Times New Roman" w:cs="Times New Roman"/>
                <w:b/>
                <w:snapToGrid w:val="0"/>
                <w:color w:val="auto"/>
                <w:spacing w:val="20"/>
                <w:sz w:val="32"/>
                <w:szCs w:val="32"/>
              </w:rPr>
              <w:t>X2.12.31</w:t>
            </w:r>
          </w:p>
        </w:tc>
        <w:tc>
          <w:tcPr>
            <w:tcW w:w="138" w:type="dxa"/>
          </w:tcPr>
          <w:p w:rsidR="0004572D" w:rsidRDefault="0004572D"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p>
        </w:tc>
        <w:tc>
          <w:tcPr>
            <w:tcW w:w="1352" w:type="dxa"/>
            <w:tcBorders>
              <w:bottom w:val="single" w:sz="4" w:space="0" w:color="auto"/>
            </w:tcBorders>
          </w:tcPr>
          <w:p w:rsidR="0004572D" w:rsidRDefault="000B046A"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EF2451">
              <w:rPr>
                <w:rFonts w:ascii="Times New Roman" w:cs="Times New Roman"/>
                <w:b/>
                <w:snapToGrid w:val="0"/>
                <w:color w:val="auto"/>
                <w:spacing w:val="20"/>
                <w:sz w:val="32"/>
                <w:szCs w:val="32"/>
              </w:rPr>
              <w:t>X1.12.31</w:t>
            </w:r>
          </w:p>
        </w:tc>
      </w:tr>
      <w:tr w:rsidR="000B046A" w:rsidRPr="000B046A" w:rsidTr="00EF2451">
        <w:tc>
          <w:tcPr>
            <w:tcW w:w="5457" w:type="dxa"/>
          </w:tcPr>
          <w:p w:rsidR="000B046A" w:rsidRPr="000B046A" w:rsidRDefault="000B046A" w:rsidP="00EF2451">
            <w:pPr>
              <w:pStyle w:val="a7"/>
              <w:spacing w:before="100" w:beforeAutospacing="1" w:after="100" w:afterAutospacing="1" w:line="400" w:lineRule="exact"/>
              <w:ind w:leftChars="0" w:left="1985"/>
              <w:rPr>
                <w:rFonts w:eastAsia="標楷體"/>
                <w:spacing w:val="20"/>
                <w:sz w:val="32"/>
                <w:szCs w:val="32"/>
              </w:rPr>
            </w:pPr>
            <w:r w:rsidRPr="000B046A">
              <w:rPr>
                <w:rFonts w:eastAsia="標楷體" w:hint="eastAsia"/>
                <w:spacing w:val="20"/>
                <w:sz w:val="32"/>
                <w:szCs w:val="32"/>
              </w:rPr>
              <w:t>放款及墊款之證券化載具</w:t>
            </w:r>
          </w:p>
        </w:tc>
        <w:tc>
          <w:tcPr>
            <w:tcW w:w="1416" w:type="dxa"/>
            <w:tcBorders>
              <w:top w:val="single" w:sz="4" w:space="0" w:color="auto"/>
              <w:left w:val="nil"/>
            </w:tcBorders>
          </w:tcPr>
          <w:p w:rsidR="000B046A" w:rsidRPr="000B046A" w:rsidRDefault="000B046A"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single" w:sz="4" w:space="0" w:color="auto"/>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0B046A" w:rsidRPr="000B046A" w:rsidTr="00EF2451">
        <w:tc>
          <w:tcPr>
            <w:tcW w:w="5457" w:type="dxa"/>
          </w:tcPr>
          <w:p w:rsidR="000B046A" w:rsidRPr="000B046A" w:rsidRDefault="002A44C1" w:rsidP="00EF2451">
            <w:pPr>
              <w:pStyle w:val="a7"/>
              <w:spacing w:before="100" w:beforeAutospacing="1" w:after="100" w:afterAutospacing="1" w:line="400" w:lineRule="exact"/>
              <w:ind w:leftChars="0" w:left="1985"/>
              <w:rPr>
                <w:rFonts w:eastAsia="標楷體"/>
                <w:snapToGrid w:val="0"/>
                <w:spacing w:val="20"/>
                <w:sz w:val="32"/>
                <w:szCs w:val="32"/>
              </w:rPr>
            </w:pPr>
            <w:r w:rsidRPr="0074617E">
              <w:rPr>
                <w:rFonts w:eastAsia="標楷體" w:hint="eastAsia"/>
                <w:spacing w:val="20"/>
                <w:sz w:val="32"/>
                <w:szCs w:val="32"/>
              </w:rPr>
              <w:t>私募</w:t>
            </w:r>
            <w:r w:rsidR="000B046A" w:rsidRPr="0074617E">
              <w:rPr>
                <w:rFonts w:eastAsia="標楷體" w:hint="eastAsia"/>
                <w:spacing w:val="20"/>
                <w:sz w:val="32"/>
                <w:szCs w:val="32"/>
              </w:rPr>
              <w:t>投資基金</w:t>
            </w:r>
          </w:p>
        </w:tc>
        <w:tc>
          <w:tcPr>
            <w:tcW w:w="1416" w:type="dxa"/>
            <w:tcBorders>
              <w:left w:val="nil"/>
              <w:bottom w:val="single" w:sz="4" w:space="0" w:color="auto"/>
            </w:tcBorders>
          </w:tcPr>
          <w:p w:rsidR="000B046A" w:rsidRPr="000B046A" w:rsidRDefault="000B046A" w:rsidP="00CA62B0">
            <w:pPr>
              <w:kinsoku w:val="0"/>
              <w:overflowPunct w:val="0"/>
              <w:autoSpaceDE w:val="0"/>
              <w:autoSpaceDN w:val="0"/>
              <w:spacing w:beforeLines="50"/>
              <w:jc w:val="right"/>
              <w:rPr>
                <w:rFonts w:eastAsia="標楷體"/>
                <w:snapToGrid w:val="0"/>
                <w:spacing w:val="20"/>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left w:val="nil"/>
              <w:bottom w:val="sing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0B046A" w:rsidRPr="000B046A" w:rsidTr="00EF2451">
        <w:tc>
          <w:tcPr>
            <w:tcW w:w="5457" w:type="dxa"/>
          </w:tcPr>
          <w:p w:rsidR="000B046A" w:rsidRPr="000B046A" w:rsidRDefault="000B046A" w:rsidP="00EF2451">
            <w:pPr>
              <w:pStyle w:val="a7"/>
              <w:spacing w:before="100" w:beforeAutospacing="1" w:after="100" w:afterAutospacing="1" w:line="400" w:lineRule="exact"/>
              <w:ind w:leftChars="0" w:left="1985"/>
              <w:rPr>
                <w:rFonts w:eastAsia="標楷體"/>
                <w:snapToGrid w:val="0"/>
                <w:spacing w:val="20"/>
                <w:sz w:val="32"/>
                <w:szCs w:val="32"/>
              </w:rPr>
            </w:pPr>
            <w:r w:rsidRPr="00EF2451">
              <w:rPr>
                <w:rFonts w:eastAsia="標楷體" w:hint="eastAsia"/>
                <w:spacing w:val="20"/>
                <w:sz w:val="32"/>
                <w:szCs w:val="32"/>
              </w:rPr>
              <w:t>合計</w:t>
            </w:r>
          </w:p>
        </w:tc>
        <w:tc>
          <w:tcPr>
            <w:tcW w:w="1416" w:type="dxa"/>
            <w:tcBorders>
              <w:top w:val="sing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sing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bl>
    <w:p w:rsidR="000B046A" w:rsidRPr="000B046A" w:rsidRDefault="000B046A" w:rsidP="00EF2451">
      <w:pPr>
        <w:pStyle w:val="a7"/>
        <w:spacing w:before="100" w:beforeAutospacing="1" w:after="100" w:afterAutospacing="1" w:line="400" w:lineRule="exact"/>
        <w:ind w:leftChars="0" w:left="1418" w:firstLineChars="196" w:firstLine="706"/>
        <w:rPr>
          <w:rFonts w:eastAsia="標楷體"/>
          <w:spacing w:val="20"/>
          <w:sz w:val="32"/>
          <w:szCs w:val="32"/>
        </w:rPr>
      </w:pPr>
      <w:r w:rsidRPr="000B046A">
        <w:rPr>
          <w:rFonts w:eastAsia="標楷體" w:hint="eastAsia"/>
          <w:spacing w:val="20"/>
          <w:sz w:val="32"/>
          <w:szCs w:val="32"/>
        </w:rPr>
        <w:t>自該等個體損失之</w:t>
      </w:r>
      <w:proofErr w:type="gramStart"/>
      <w:r w:rsidRPr="000B046A">
        <w:rPr>
          <w:rFonts w:eastAsia="標楷體" w:hint="eastAsia"/>
          <w:snapToGrid w:val="0"/>
          <w:spacing w:val="20"/>
          <w:sz w:val="32"/>
          <w:szCs w:val="32"/>
        </w:rPr>
        <w:t>最大暴險金額</w:t>
      </w:r>
      <w:proofErr w:type="gramEnd"/>
      <w:r w:rsidRPr="000B046A">
        <w:rPr>
          <w:rFonts w:eastAsia="標楷體" w:hint="eastAsia"/>
          <w:snapToGrid w:val="0"/>
          <w:spacing w:val="20"/>
          <w:sz w:val="32"/>
          <w:szCs w:val="32"/>
        </w:rPr>
        <w:t>即為所持有資產之</w:t>
      </w:r>
      <w:proofErr w:type="gramStart"/>
      <w:r w:rsidRPr="000B046A">
        <w:rPr>
          <w:rFonts w:eastAsia="標楷體" w:hint="eastAsia"/>
          <w:snapToGrid w:val="0"/>
          <w:spacing w:val="20"/>
          <w:sz w:val="32"/>
          <w:szCs w:val="32"/>
        </w:rPr>
        <w:t>帳面</w:t>
      </w:r>
      <w:proofErr w:type="gramEnd"/>
      <w:r w:rsidRPr="000B046A">
        <w:rPr>
          <w:rFonts w:eastAsia="標楷體" w:hint="eastAsia"/>
          <w:snapToGrid w:val="0"/>
          <w:spacing w:val="20"/>
          <w:sz w:val="32"/>
          <w:szCs w:val="32"/>
        </w:rPr>
        <w:t>金額。</w:t>
      </w:r>
      <w:r w:rsidRPr="00EF2451">
        <w:rPr>
          <w:rFonts w:ascii="Times New Roman" w:eastAsia="標楷體" w:hAnsi="Times New Roman" w:cs="Times New Roman" w:hint="eastAsia"/>
          <w:b/>
          <w:color w:val="0033CC"/>
          <w:spacing w:val="20"/>
          <w:szCs w:val="24"/>
        </w:rPr>
        <w:t>(IFRS 12.29)</w:t>
      </w:r>
    </w:p>
    <w:p w:rsidR="000B046A" w:rsidRDefault="000B046A" w:rsidP="00EF2451">
      <w:pPr>
        <w:pStyle w:val="a7"/>
        <w:spacing w:before="100" w:beforeAutospacing="1" w:after="100" w:afterAutospacing="1" w:line="400" w:lineRule="exact"/>
        <w:ind w:leftChars="0" w:left="1418" w:firstLineChars="196" w:firstLine="706"/>
        <w:rPr>
          <w:rFonts w:eastAsia="標楷體"/>
          <w:sz w:val="26"/>
          <w:szCs w:val="26"/>
        </w:rPr>
      </w:pPr>
      <w:r w:rsidRPr="00EF2451">
        <w:rPr>
          <w:rFonts w:ascii="Times New Roman" w:eastAsia="標楷體" w:cs="Times New Roman"/>
          <w:spacing w:val="20"/>
          <w:sz w:val="32"/>
          <w:szCs w:val="32"/>
        </w:rPr>
        <w:t>合併公司於民國</w:t>
      </w:r>
      <w:r w:rsidRPr="00EF2451">
        <w:rPr>
          <w:rFonts w:ascii="Times New Roman" w:eastAsia="標楷體" w:hAnsi="Times New Roman" w:cs="Times New Roman"/>
          <w:spacing w:val="20"/>
          <w:sz w:val="32"/>
          <w:szCs w:val="32"/>
        </w:rPr>
        <w:t>X2</w:t>
      </w:r>
      <w:r w:rsidRPr="00EF2451">
        <w:rPr>
          <w:rFonts w:ascii="Times New Roman" w:eastAsia="標楷體" w:cs="Times New Roman"/>
          <w:spacing w:val="20"/>
          <w:sz w:val="32"/>
          <w:szCs w:val="32"/>
        </w:rPr>
        <w:t>年及</w:t>
      </w:r>
      <w:r w:rsidRPr="00EF2451">
        <w:rPr>
          <w:rFonts w:ascii="Times New Roman" w:eastAsia="標楷體" w:hAnsi="Times New Roman" w:cs="Times New Roman"/>
          <w:spacing w:val="20"/>
          <w:sz w:val="32"/>
          <w:szCs w:val="32"/>
        </w:rPr>
        <w:t>X</w:t>
      </w:r>
      <w:proofErr w:type="gramStart"/>
      <w:r w:rsidRPr="00EF2451">
        <w:rPr>
          <w:rFonts w:ascii="Times New Roman" w:eastAsia="標楷體" w:hAnsi="Times New Roman" w:cs="Times New Roman"/>
          <w:spacing w:val="20"/>
          <w:sz w:val="32"/>
          <w:szCs w:val="32"/>
        </w:rPr>
        <w:t>1</w:t>
      </w:r>
      <w:proofErr w:type="gramEnd"/>
      <w:r w:rsidRPr="00EF2451">
        <w:rPr>
          <w:rFonts w:ascii="Times New Roman" w:eastAsia="標楷體" w:cs="Times New Roman"/>
          <w:spacing w:val="20"/>
          <w:sz w:val="32"/>
          <w:szCs w:val="32"/>
        </w:rPr>
        <w:t>年度對未納入合併財務報告之證券化載具提供財務支援之金額分別為</w:t>
      </w:r>
      <w:r w:rsidRPr="00EF2451">
        <w:rPr>
          <w:rFonts w:ascii="Times New Roman" w:eastAsia="標楷體" w:hAnsi="Times New Roman" w:cs="Times New Roman"/>
          <w:spacing w:val="20"/>
          <w:sz w:val="32"/>
          <w:szCs w:val="32"/>
        </w:rPr>
        <w:t>XX</w:t>
      </w:r>
      <w:r w:rsidRPr="00EF2451">
        <w:rPr>
          <w:rFonts w:ascii="Times New Roman" w:eastAsia="標楷體" w:cs="Times New Roman"/>
          <w:spacing w:val="20"/>
          <w:sz w:val="32"/>
          <w:szCs w:val="32"/>
        </w:rPr>
        <w:t>千元及</w:t>
      </w:r>
      <w:r w:rsidRPr="00EF2451">
        <w:rPr>
          <w:rFonts w:ascii="Times New Roman" w:eastAsia="標楷體" w:hAnsi="Times New Roman" w:cs="Times New Roman"/>
          <w:spacing w:val="20"/>
          <w:sz w:val="32"/>
          <w:szCs w:val="32"/>
        </w:rPr>
        <w:t>XX</w:t>
      </w:r>
      <w:r w:rsidRPr="00EF2451">
        <w:rPr>
          <w:rFonts w:ascii="Times New Roman" w:eastAsia="標楷體" w:cs="Times New Roman"/>
          <w:spacing w:val="20"/>
          <w:sz w:val="32"/>
          <w:szCs w:val="32"/>
        </w:rPr>
        <w:t>千元，其係作為支付</w:t>
      </w:r>
      <w:proofErr w:type="gramStart"/>
      <w:r w:rsidRPr="00EF2451">
        <w:rPr>
          <w:rFonts w:ascii="Times New Roman" w:eastAsia="標楷體" w:cs="Times New Roman"/>
          <w:spacing w:val="20"/>
          <w:sz w:val="32"/>
          <w:szCs w:val="32"/>
        </w:rPr>
        <w:t>予該載具</w:t>
      </w:r>
      <w:proofErr w:type="gramEnd"/>
      <w:r w:rsidRPr="00EF2451">
        <w:rPr>
          <w:rFonts w:ascii="Times New Roman" w:eastAsia="標楷體" w:cs="Times New Roman"/>
          <w:spacing w:val="20"/>
          <w:sz w:val="32"/>
          <w:szCs w:val="32"/>
        </w:rPr>
        <w:t>所發行債券之持有人之用。</w:t>
      </w:r>
      <w:r w:rsidRPr="00EF2451">
        <w:rPr>
          <w:rFonts w:ascii="Times New Roman" w:eastAsia="標楷體" w:cs="Times New Roman"/>
          <w:spacing w:val="20"/>
          <w:sz w:val="32"/>
          <w:szCs w:val="32"/>
        </w:rPr>
        <w:lastRenderedPageBreak/>
        <w:t>依合約合併公司並無義務作此支付，惟經審慎考量成立該等載具時合併公司所扮演之角色及維持其提供此類服務之聲譽，合併公司仍決定提供此項支援。</w:t>
      </w:r>
      <w:r w:rsidRPr="00EF2451">
        <w:rPr>
          <w:rFonts w:ascii="Times New Roman" w:eastAsia="標楷體" w:hAnsi="Times New Roman" w:cs="Times New Roman"/>
          <w:b/>
          <w:color w:val="0033CC"/>
          <w:spacing w:val="20"/>
          <w:szCs w:val="24"/>
        </w:rPr>
        <w:t>(IFRS 12.30)</w:t>
      </w:r>
    </w:p>
    <w:p w:rsidR="000B046A" w:rsidRPr="00EF2451" w:rsidRDefault="00011C0B" w:rsidP="00011C0B">
      <w:pPr>
        <w:pStyle w:val="a7"/>
        <w:spacing w:before="100" w:beforeAutospacing="1" w:after="100" w:afterAutospacing="1" w:line="400" w:lineRule="exact"/>
        <w:ind w:leftChars="0" w:left="1418" w:firstLineChars="196" w:firstLine="706"/>
        <w:rPr>
          <w:rFonts w:ascii="Times New Roman" w:eastAsia="標楷體" w:cs="Times New Roman"/>
          <w:spacing w:val="20"/>
          <w:sz w:val="32"/>
          <w:szCs w:val="32"/>
        </w:rPr>
      </w:pPr>
      <w:r w:rsidRPr="00EF2451">
        <w:rPr>
          <w:rFonts w:ascii="Times New Roman" w:eastAsia="標楷體" w:cs="Times New Roman" w:hint="eastAsia"/>
          <w:spacing w:val="20"/>
          <w:sz w:val="32"/>
          <w:szCs w:val="32"/>
        </w:rPr>
        <w:t>合併公司發起下列未納入合併財務報告之結構型個體，但未持有其權益</w:t>
      </w:r>
      <w:r w:rsidRPr="00011C0B">
        <w:rPr>
          <w:rFonts w:ascii="Times New Roman" w:eastAsia="標楷體" w:cs="Times New Roman" w:hint="eastAsia"/>
          <w:spacing w:val="20"/>
          <w:sz w:val="32"/>
          <w:szCs w:val="32"/>
        </w:rPr>
        <w:t>。</w:t>
      </w:r>
      <w:r w:rsidRPr="00334FDC">
        <w:rPr>
          <w:rFonts w:ascii="Times New Roman" w:eastAsia="標楷體" w:cs="Times New Roman" w:hint="eastAsia"/>
          <w:spacing w:val="20"/>
          <w:sz w:val="32"/>
          <w:szCs w:val="32"/>
        </w:rPr>
        <w:t>合併公司考量其為設計及創立該結構型個體之主要參與者，故判定該結構型個體係由合併公司所發起。合併公司亦移轉資產予被發起之結構型個體、以其名義行銷結構型之相關商品並且為結構型個體之績效提供保證</w:t>
      </w:r>
      <w:r w:rsidR="00315981" w:rsidRPr="00334FDC">
        <w:rPr>
          <w:rFonts w:ascii="Times New Roman" w:eastAsia="標楷體" w:cs="Times New Roman" w:hint="eastAsia"/>
          <w:spacing w:val="20"/>
          <w:sz w:val="32"/>
          <w:szCs w:val="32"/>
        </w:rPr>
        <w:t>。</w:t>
      </w:r>
      <w:r w:rsidR="000B046A" w:rsidRPr="00EF2451">
        <w:rPr>
          <w:rFonts w:ascii="Times New Roman" w:eastAsia="標楷體" w:cs="Times New Roman" w:hint="eastAsia"/>
          <w:spacing w:val="20"/>
          <w:sz w:val="32"/>
          <w:szCs w:val="32"/>
        </w:rPr>
        <w:t>相關資訊如下：</w:t>
      </w:r>
      <w:r w:rsidR="000B046A" w:rsidRPr="00EF2451">
        <w:rPr>
          <w:rFonts w:ascii="Times New Roman" w:eastAsia="標楷體" w:hAnsi="Times New Roman" w:cs="Times New Roman" w:hint="eastAsia"/>
          <w:b/>
          <w:color w:val="0033CC"/>
          <w:spacing w:val="20"/>
          <w:szCs w:val="24"/>
        </w:rPr>
        <w:t>(IFRS 12.27)</w:t>
      </w:r>
    </w:p>
    <w:tbl>
      <w:tblPr>
        <w:tblStyle w:val="af7"/>
        <w:tblW w:w="83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457"/>
        <w:gridCol w:w="1416"/>
        <w:gridCol w:w="138"/>
        <w:gridCol w:w="1352"/>
      </w:tblGrid>
      <w:tr w:rsidR="000B046A" w:rsidRPr="00EF2451" w:rsidTr="00EF2451">
        <w:tc>
          <w:tcPr>
            <w:tcW w:w="5457" w:type="dxa"/>
          </w:tcPr>
          <w:p w:rsidR="0004572D" w:rsidRDefault="0004572D" w:rsidP="00CA62B0">
            <w:pPr>
              <w:kinsoku w:val="0"/>
              <w:overflowPunct w:val="0"/>
              <w:autoSpaceDE w:val="0"/>
              <w:autoSpaceDN w:val="0"/>
              <w:spacing w:beforeLines="50"/>
              <w:jc w:val="both"/>
              <w:rPr>
                <w:rFonts w:asciiTheme="minorHAnsi" w:eastAsia="標楷體" w:hAnsiTheme="minorHAnsi" w:cstheme="minorBidi"/>
                <w:snapToGrid w:val="0"/>
                <w:spacing w:val="20"/>
                <w:kern w:val="2"/>
                <w:sz w:val="32"/>
                <w:szCs w:val="32"/>
              </w:rPr>
            </w:pPr>
          </w:p>
        </w:tc>
        <w:tc>
          <w:tcPr>
            <w:tcW w:w="1416" w:type="dxa"/>
            <w:tcBorders>
              <w:bottom w:val="single" w:sz="4" w:space="0" w:color="auto"/>
            </w:tcBorders>
          </w:tcPr>
          <w:p w:rsidR="0004572D" w:rsidRDefault="000B046A"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EF2451">
              <w:rPr>
                <w:rFonts w:ascii="Times New Roman" w:cs="Times New Roman" w:hint="eastAsia"/>
                <w:b/>
                <w:snapToGrid w:val="0"/>
                <w:color w:val="auto"/>
                <w:spacing w:val="20"/>
                <w:sz w:val="32"/>
                <w:szCs w:val="32"/>
              </w:rPr>
              <w:t>X2.12.31</w:t>
            </w:r>
          </w:p>
        </w:tc>
        <w:tc>
          <w:tcPr>
            <w:tcW w:w="138" w:type="dxa"/>
          </w:tcPr>
          <w:p w:rsidR="0004572D" w:rsidRDefault="0004572D"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p>
        </w:tc>
        <w:tc>
          <w:tcPr>
            <w:tcW w:w="1352" w:type="dxa"/>
            <w:tcBorders>
              <w:bottom w:val="single" w:sz="4" w:space="0" w:color="auto"/>
            </w:tcBorders>
          </w:tcPr>
          <w:p w:rsidR="0004572D" w:rsidRDefault="000B046A" w:rsidP="00CA62B0">
            <w:pPr>
              <w:pStyle w:val="af8"/>
              <w:kinsoku w:val="0"/>
              <w:overflowPunct w:val="0"/>
              <w:spacing w:beforeLines="50" w:line="240" w:lineRule="auto"/>
              <w:ind w:left="0" w:firstLine="0"/>
              <w:jc w:val="center"/>
              <w:rPr>
                <w:rFonts w:ascii="Times New Roman" w:cs="Times New Roman"/>
                <w:b/>
                <w:snapToGrid w:val="0"/>
                <w:color w:val="auto"/>
                <w:spacing w:val="20"/>
                <w:sz w:val="32"/>
                <w:szCs w:val="32"/>
              </w:rPr>
            </w:pPr>
            <w:r w:rsidRPr="00EF2451">
              <w:rPr>
                <w:rFonts w:ascii="Times New Roman" w:cs="Times New Roman" w:hint="eastAsia"/>
                <w:b/>
                <w:snapToGrid w:val="0"/>
                <w:color w:val="auto"/>
                <w:spacing w:val="20"/>
                <w:sz w:val="32"/>
                <w:szCs w:val="32"/>
              </w:rPr>
              <w:t>X1.12.31</w:t>
            </w:r>
          </w:p>
        </w:tc>
      </w:tr>
      <w:tr w:rsidR="000B046A" w:rsidRPr="00EF2451" w:rsidTr="00EF2451">
        <w:tc>
          <w:tcPr>
            <w:tcW w:w="5457" w:type="dxa"/>
          </w:tcPr>
          <w:p w:rsidR="000B046A" w:rsidRPr="00EF2451" w:rsidRDefault="000B046A" w:rsidP="00EF2451">
            <w:pPr>
              <w:pStyle w:val="a7"/>
              <w:spacing w:before="100" w:beforeAutospacing="1" w:after="100" w:afterAutospacing="1" w:line="400" w:lineRule="exact"/>
              <w:ind w:leftChars="0" w:left="1985"/>
              <w:rPr>
                <w:rFonts w:eastAsia="標楷體"/>
                <w:spacing w:val="20"/>
                <w:sz w:val="32"/>
                <w:szCs w:val="32"/>
              </w:rPr>
            </w:pPr>
            <w:r w:rsidRPr="00EF2451">
              <w:rPr>
                <w:rFonts w:eastAsia="標楷體" w:hint="eastAsia"/>
                <w:spacing w:val="20"/>
                <w:sz w:val="32"/>
                <w:szCs w:val="32"/>
              </w:rPr>
              <w:t>由證券化載具所賺取之服務費收益</w:t>
            </w:r>
          </w:p>
        </w:tc>
        <w:tc>
          <w:tcPr>
            <w:tcW w:w="1416" w:type="dxa"/>
            <w:tcBorders>
              <w:top w:val="sing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sing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r w:rsidR="000B046A" w:rsidRPr="00EF2451" w:rsidTr="00EF2451">
        <w:tc>
          <w:tcPr>
            <w:tcW w:w="5457" w:type="dxa"/>
          </w:tcPr>
          <w:p w:rsidR="000B046A" w:rsidRPr="00EF2451" w:rsidRDefault="000B046A" w:rsidP="00EF2451">
            <w:pPr>
              <w:pStyle w:val="a7"/>
              <w:spacing w:before="100" w:beforeAutospacing="1" w:after="100" w:afterAutospacing="1" w:line="400" w:lineRule="exact"/>
              <w:ind w:leftChars="0" w:left="1985"/>
              <w:rPr>
                <w:rFonts w:eastAsia="標楷體"/>
                <w:snapToGrid w:val="0"/>
                <w:spacing w:val="20"/>
                <w:sz w:val="32"/>
                <w:szCs w:val="32"/>
              </w:rPr>
            </w:pPr>
            <w:r w:rsidRPr="00EF2451">
              <w:rPr>
                <w:rFonts w:eastAsia="標楷體" w:hint="eastAsia"/>
                <w:spacing w:val="20"/>
                <w:sz w:val="32"/>
                <w:szCs w:val="32"/>
              </w:rPr>
              <w:t>由第三方移轉予證券化載具之資產於移轉時之</w:t>
            </w:r>
            <w:proofErr w:type="gramStart"/>
            <w:r w:rsidRPr="00EF2451">
              <w:rPr>
                <w:rFonts w:eastAsia="標楷體" w:hint="eastAsia"/>
                <w:spacing w:val="20"/>
                <w:sz w:val="32"/>
                <w:szCs w:val="32"/>
              </w:rPr>
              <w:t>帳面</w:t>
            </w:r>
            <w:proofErr w:type="gramEnd"/>
            <w:r w:rsidRPr="00EF2451">
              <w:rPr>
                <w:rFonts w:eastAsia="標楷體" w:hint="eastAsia"/>
                <w:spacing w:val="20"/>
                <w:sz w:val="32"/>
                <w:szCs w:val="32"/>
              </w:rPr>
              <w:t>金額</w:t>
            </w:r>
          </w:p>
        </w:tc>
        <w:tc>
          <w:tcPr>
            <w:tcW w:w="1416" w:type="dxa"/>
            <w:tcBorders>
              <w:top w:val="doub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8" w:type="dxa"/>
            <w:tcBorders>
              <w:left w:val="nil"/>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c>
          <w:tcPr>
            <w:tcW w:w="1352" w:type="dxa"/>
            <w:tcBorders>
              <w:top w:val="double" w:sz="4" w:space="0" w:color="auto"/>
              <w:left w:val="nil"/>
              <w:bottom w:val="double" w:sz="4" w:space="0" w:color="auto"/>
            </w:tcBorders>
          </w:tcPr>
          <w:p w:rsidR="0004572D" w:rsidRDefault="0004572D" w:rsidP="00CA62B0">
            <w:pPr>
              <w:kinsoku w:val="0"/>
              <w:overflowPunct w:val="0"/>
              <w:autoSpaceDE w:val="0"/>
              <w:autoSpaceDN w:val="0"/>
              <w:spacing w:beforeLines="50"/>
              <w:jc w:val="right"/>
              <w:rPr>
                <w:rFonts w:asciiTheme="minorHAnsi" w:eastAsia="標楷體" w:hAnsiTheme="minorHAnsi" w:cstheme="minorBidi"/>
                <w:snapToGrid w:val="0"/>
                <w:spacing w:val="20"/>
                <w:kern w:val="2"/>
                <w:sz w:val="32"/>
                <w:szCs w:val="32"/>
              </w:rPr>
            </w:pPr>
          </w:p>
        </w:tc>
      </w:tr>
    </w:tbl>
    <w:p w:rsidR="00E91C6E" w:rsidRPr="0025664C" w:rsidRDefault="00E91C6E" w:rsidP="002F10EF">
      <w:pPr>
        <w:pStyle w:val="a7"/>
        <w:numPr>
          <w:ilvl w:val="0"/>
          <w:numId w:val="1"/>
        </w:numPr>
        <w:ind w:leftChars="0" w:left="709" w:hanging="709"/>
        <w:rPr>
          <w:rFonts w:ascii="標楷體" w:eastAsia="標楷體" w:hAnsi="標楷體"/>
          <w:b/>
          <w:sz w:val="32"/>
          <w:szCs w:val="32"/>
        </w:rPr>
      </w:pPr>
      <w:r w:rsidRPr="0025664C">
        <w:rPr>
          <w:rFonts w:ascii="標楷體" w:eastAsia="標楷體" w:hAnsi="標楷體" w:hint="eastAsia"/>
          <w:b/>
          <w:sz w:val="32"/>
          <w:szCs w:val="32"/>
        </w:rPr>
        <w:t>結論及實務提醒事項</w:t>
      </w:r>
    </w:p>
    <w:p w:rsidR="00203622" w:rsidRDefault="00F92224" w:rsidP="00203622">
      <w:pPr>
        <w:pStyle w:val="a7"/>
        <w:spacing w:before="100" w:beforeAutospacing="1" w:after="100" w:afterAutospacing="1" w:line="400" w:lineRule="exact"/>
        <w:ind w:leftChars="0" w:left="709" w:firstLineChars="200" w:firstLine="640"/>
        <w:rPr>
          <w:rFonts w:ascii="Times New Roman" w:eastAsia="標楷體" w:hAnsi="Times New Roman" w:cs="Times New Roman"/>
          <w:sz w:val="32"/>
          <w:szCs w:val="32"/>
        </w:rPr>
      </w:pPr>
      <w:r w:rsidRPr="00F92224">
        <w:rPr>
          <w:rFonts w:ascii="Times New Roman" w:eastAsia="標楷體" w:hAnsi="Times New Roman" w:cs="Times New Roman" w:hint="eastAsia"/>
          <w:sz w:val="32"/>
          <w:szCs w:val="32"/>
        </w:rPr>
        <w:t>2013</w:t>
      </w:r>
      <w:r>
        <w:rPr>
          <w:rFonts w:ascii="Times New Roman" w:eastAsia="標楷體" w:hAnsi="Times New Roman" w:cs="Times New Roman" w:hint="eastAsia"/>
          <w:sz w:val="32"/>
          <w:szCs w:val="32"/>
        </w:rPr>
        <w:t>年</w:t>
      </w:r>
      <w:r w:rsidRPr="00F92224">
        <w:rPr>
          <w:rFonts w:ascii="Times New Roman" w:eastAsia="標楷體" w:hAnsi="Times New Roman" w:cs="Times New Roman" w:hint="eastAsia"/>
          <w:sz w:val="32"/>
          <w:szCs w:val="32"/>
        </w:rPr>
        <w:t>版</w:t>
      </w:r>
      <w:r w:rsidRPr="00F92224">
        <w:rPr>
          <w:rFonts w:ascii="Times New Roman" w:eastAsia="標楷體" w:hAnsi="Times New Roman" w:cs="Times New Roman" w:hint="eastAsia"/>
          <w:sz w:val="32"/>
          <w:szCs w:val="32"/>
        </w:rPr>
        <w:t xml:space="preserve">IFRS </w:t>
      </w:r>
      <w:r w:rsidR="00203622">
        <w:rPr>
          <w:rFonts w:ascii="Times New Roman" w:eastAsia="標楷體" w:hAnsi="Times New Roman" w:cs="Times New Roman" w:hint="eastAsia"/>
          <w:sz w:val="32"/>
          <w:szCs w:val="32"/>
        </w:rPr>
        <w:t>12</w:t>
      </w:r>
      <w:r w:rsidR="00203622" w:rsidRPr="00203622">
        <w:rPr>
          <w:rFonts w:ascii="Times New Roman" w:eastAsia="標楷體" w:hAnsi="Times New Roman" w:cs="Times New Roman" w:hint="eastAsia"/>
          <w:sz w:val="32"/>
          <w:szCs w:val="32"/>
        </w:rPr>
        <w:t>之過渡條款</w:t>
      </w:r>
      <w:r w:rsidR="00203622">
        <w:rPr>
          <w:rFonts w:ascii="Times New Roman" w:eastAsia="標楷體" w:hAnsi="Times New Roman" w:cs="Times New Roman" w:hint="eastAsia"/>
          <w:sz w:val="32"/>
          <w:szCs w:val="32"/>
        </w:rPr>
        <w:t>第</w:t>
      </w:r>
      <w:r w:rsidR="00203622" w:rsidRPr="00203622">
        <w:rPr>
          <w:rFonts w:ascii="Times New Roman" w:eastAsia="標楷體" w:hAnsi="Times New Roman" w:cs="Times New Roman"/>
          <w:sz w:val="32"/>
          <w:szCs w:val="32"/>
        </w:rPr>
        <w:t>C1</w:t>
      </w:r>
      <w:r w:rsidR="00203622">
        <w:rPr>
          <w:rFonts w:ascii="Times New Roman" w:eastAsia="標楷體" w:hAnsi="Times New Roman" w:cs="Times New Roman" w:hint="eastAsia"/>
          <w:sz w:val="32"/>
          <w:szCs w:val="32"/>
        </w:rPr>
        <w:t>段</w:t>
      </w:r>
      <w:r w:rsidR="00203622" w:rsidRPr="00203622">
        <w:rPr>
          <w:rFonts w:ascii="Times New Roman" w:eastAsia="標楷體" w:hAnsi="Times New Roman" w:cs="Times New Roman" w:hint="eastAsia"/>
          <w:sz w:val="32"/>
          <w:szCs w:val="32"/>
        </w:rPr>
        <w:t>規定</w:t>
      </w:r>
      <w:r w:rsidR="00203622">
        <w:rPr>
          <w:rFonts w:ascii="Times New Roman" w:eastAsia="標楷體" w:hAnsi="Times New Roman" w:cs="Times New Roman" w:hint="eastAsia"/>
          <w:sz w:val="32"/>
          <w:szCs w:val="32"/>
        </w:rPr>
        <w:t>，</w:t>
      </w:r>
      <w:r w:rsidR="00203622" w:rsidRPr="00203622">
        <w:rPr>
          <w:rFonts w:ascii="Times New Roman" w:eastAsia="標楷體" w:hAnsi="Times New Roman" w:cs="Times New Roman" w:hint="eastAsia"/>
          <w:sz w:val="32"/>
          <w:szCs w:val="32"/>
        </w:rPr>
        <w:t>企業應於</w:t>
      </w:r>
      <w:r w:rsidR="00203622" w:rsidRPr="00203622">
        <w:rPr>
          <w:rFonts w:ascii="Times New Roman" w:eastAsia="標楷體" w:hAnsi="Times New Roman" w:cs="Times New Roman"/>
          <w:sz w:val="32"/>
          <w:szCs w:val="32"/>
        </w:rPr>
        <w:t>2013</w:t>
      </w:r>
      <w:r w:rsidR="00203622" w:rsidRPr="00203622">
        <w:rPr>
          <w:rFonts w:ascii="Times New Roman" w:eastAsia="標楷體" w:hAnsi="Times New Roman" w:cs="Times New Roman" w:hint="eastAsia"/>
          <w:sz w:val="32"/>
          <w:szCs w:val="32"/>
        </w:rPr>
        <w:t>年</w:t>
      </w:r>
      <w:r w:rsidR="00203622" w:rsidRPr="00203622">
        <w:rPr>
          <w:rFonts w:ascii="Times New Roman" w:eastAsia="標楷體" w:hAnsi="Times New Roman" w:cs="Times New Roman"/>
          <w:sz w:val="32"/>
          <w:szCs w:val="32"/>
        </w:rPr>
        <w:t>1</w:t>
      </w:r>
      <w:r w:rsidR="00203622" w:rsidRPr="00203622">
        <w:rPr>
          <w:rFonts w:ascii="Times New Roman" w:eastAsia="標楷體" w:hAnsi="Times New Roman" w:cs="Times New Roman" w:hint="eastAsia"/>
          <w:sz w:val="32"/>
          <w:szCs w:val="32"/>
        </w:rPr>
        <w:t>月</w:t>
      </w:r>
      <w:r w:rsidR="00203622" w:rsidRPr="00203622">
        <w:rPr>
          <w:rFonts w:ascii="Times New Roman" w:eastAsia="標楷體" w:hAnsi="Times New Roman" w:cs="Times New Roman"/>
          <w:sz w:val="32"/>
          <w:szCs w:val="32"/>
        </w:rPr>
        <w:t>1</w:t>
      </w:r>
      <w:r w:rsidR="00203622" w:rsidRPr="00203622">
        <w:rPr>
          <w:rFonts w:ascii="Times New Roman" w:eastAsia="標楷體" w:hAnsi="Times New Roman" w:cs="Times New Roman" w:hint="eastAsia"/>
          <w:sz w:val="32"/>
          <w:szCs w:val="32"/>
        </w:rPr>
        <w:t>日以後開始之年度期間適用本國際財務報導準則，並得提前適用。</w:t>
      </w:r>
      <w:r w:rsidR="00203622">
        <w:rPr>
          <w:rFonts w:ascii="Times New Roman" w:eastAsia="標楷體" w:hAnsi="Times New Roman" w:cs="Times New Roman" w:hint="eastAsia"/>
          <w:sz w:val="32"/>
          <w:szCs w:val="32"/>
        </w:rPr>
        <w:t>第</w:t>
      </w:r>
      <w:r w:rsidR="00203622" w:rsidRPr="00203622">
        <w:rPr>
          <w:rFonts w:ascii="Times New Roman" w:eastAsia="標楷體" w:hAnsi="Times New Roman" w:cs="Times New Roman" w:hint="eastAsia"/>
          <w:sz w:val="32"/>
          <w:szCs w:val="32"/>
        </w:rPr>
        <w:t>C2B</w:t>
      </w:r>
      <w:r w:rsidR="00203622">
        <w:rPr>
          <w:rFonts w:ascii="Times New Roman" w:eastAsia="標楷體" w:hAnsi="Times New Roman" w:cs="Times New Roman" w:hint="eastAsia"/>
          <w:sz w:val="32"/>
          <w:szCs w:val="32"/>
        </w:rPr>
        <w:t>段規定，</w:t>
      </w:r>
      <w:r w:rsidR="00203622" w:rsidRPr="00203622">
        <w:rPr>
          <w:rFonts w:ascii="Times New Roman" w:eastAsia="標楷體" w:hAnsi="Times New Roman" w:cs="Times New Roman" w:hint="eastAsia"/>
          <w:sz w:val="32"/>
          <w:szCs w:val="32"/>
        </w:rPr>
        <w:t>第</w:t>
      </w:r>
      <w:r w:rsidR="00203622" w:rsidRPr="00203622">
        <w:rPr>
          <w:rFonts w:ascii="Times New Roman" w:eastAsia="標楷體" w:hAnsi="Times New Roman" w:cs="Times New Roman"/>
          <w:sz w:val="32"/>
          <w:szCs w:val="32"/>
        </w:rPr>
        <w:t>24</w:t>
      </w:r>
      <w:r w:rsidR="00203622" w:rsidRPr="00203622">
        <w:rPr>
          <w:rFonts w:ascii="Times New Roman" w:eastAsia="標楷體" w:hAnsi="Times New Roman" w:cs="Times New Roman" w:hint="eastAsia"/>
          <w:sz w:val="32"/>
          <w:szCs w:val="32"/>
        </w:rPr>
        <w:t>至</w:t>
      </w:r>
      <w:r w:rsidR="00203622" w:rsidRPr="00203622">
        <w:rPr>
          <w:rFonts w:ascii="Times New Roman" w:eastAsia="標楷體" w:hAnsi="Times New Roman" w:cs="Times New Roman"/>
          <w:sz w:val="32"/>
          <w:szCs w:val="32"/>
        </w:rPr>
        <w:t>31</w:t>
      </w:r>
      <w:r w:rsidR="00203622" w:rsidRPr="00203622">
        <w:rPr>
          <w:rFonts w:ascii="Times New Roman" w:eastAsia="標楷體" w:hAnsi="Times New Roman" w:cs="Times New Roman" w:hint="eastAsia"/>
          <w:sz w:val="32"/>
          <w:szCs w:val="32"/>
        </w:rPr>
        <w:t>段之揭露規定與本國際財務報導準則第</w:t>
      </w:r>
      <w:r w:rsidR="00203622" w:rsidRPr="00203622">
        <w:rPr>
          <w:rFonts w:ascii="Times New Roman" w:eastAsia="標楷體" w:hAnsi="Times New Roman" w:cs="Times New Roman"/>
          <w:sz w:val="32"/>
          <w:szCs w:val="32"/>
        </w:rPr>
        <w:t>B21</w:t>
      </w:r>
      <w:r w:rsidR="00203622" w:rsidRPr="00203622">
        <w:rPr>
          <w:rFonts w:ascii="Times New Roman" w:eastAsia="標楷體" w:hAnsi="Times New Roman" w:cs="Times New Roman" w:hint="eastAsia"/>
          <w:sz w:val="32"/>
          <w:szCs w:val="32"/>
        </w:rPr>
        <w:t>至</w:t>
      </w:r>
      <w:r w:rsidR="00203622" w:rsidRPr="00203622">
        <w:rPr>
          <w:rFonts w:ascii="Times New Roman" w:eastAsia="標楷體" w:hAnsi="Times New Roman" w:cs="Times New Roman"/>
          <w:sz w:val="32"/>
          <w:szCs w:val="32"/>
        </w:rPr>
        <w:t>B26</w:t>
      </w:r>
      <w:r w:rsidR="00203622" w:rsidRPr="00203622">
        <w:rPr>
          <w:rFonts w:ascii="Times New Roman" w:eastAsia="標楷體" w:hAnsi="Times New Roman" w:cs="Times New Roman" w:hint="eastAsia"/>
          <w:sz w:val="32"/>
          <w:szCs w:val="32"/>
        </w:rPr>
        <w:t>段之相應指引，無須適用於國際財務報導準則第</w:t>
      </w:r>
      <w:r w:rsidR="00203622" w:rsidRPr="00203622">
        <w:rPr>
          <w:rFonts w:ascii="Times New Roman" w:eastAsia="標楷體" w:hAnsi="Times New Roman" w:cs="Times New Roman"/>
          <w:sz w:val="32"/>
          <w:szCs w:val="32"/>
        </w:rPr>
        <w:t>12</w:t>
      </w:r>
      <w:r w:rsidR="00203622" w:rsidRPr="00203622">
        <w:rPr>
          <w:rFonts w:ascii="Times New Roman" w:eastAsia="標楷體" w:hAnsi="Times New Roman" w:cs="Times New Roman" w:hint="eastAsia"/>
          <w:sz w:val="32"/>
          <w:szCs w:val="32"/>
        </w:rPr>
        <w:t>號已適用之第一個年度</w:t>
      </w:r>
      <w:proofErr w:type="gramStart"/>
      <w:r w:rsidR="00203622" w:rsidRPr="00203622">
        <w:rPr>
          <w:rFonts w:ascii="Times New Roman" w:eastAsia="標楷體" w:hAnsi="Times New Roman" w:cs="Times New Roman" w:hint="eastAsia"/>
          <w:sz w:val="32"/>
          <w:szCs w:val="32"/>
        </w:rPr>
        <w:t>期間前</w:t>
      </w:r>
      <w:proofErr w:type="gramEnd"/>
      <w:r w:rsidR="00203622" w:rsidRPr="00203622">
        <w:rPr>
          <w:rFonts w:ascii="Times New Roman" w:eastAsia="標楷體" w:hAnsi="Times New Roman" w:cs="Times New Roman" w:hint="eastAsia"/>
          <w:sz w:val="32"/>
          <w:szCs w:val="32"/>
        </w:rPr>
        <w:t>開始之任何表達期間。</w:t>
      </w:r>
      <w:r w:rsidR="00203622">
        <w:rPr>
          <w:rFonts w:ascii="Times New Roman" w:eastAsia="標楷體" w:hAnsi="Times New Roman" w:cs="Times New Roman" w:hint="eastAsia"/>
          <w:sz w:val="32"/>
          <w:szCs w:val="32"/>
        </w:rPr>
        <w:t>另</w:t>
      </w:r>
      <w:r w:rsidR="00203622" w:rsidRPr="00203622">
        <w:rPr>
          <w:rFonts w:ascii="Times New Roman" w:eastAsia="標楷體" w:hAnsi="Times New Roman" w:cs="Times New Roman" w:hint="eastAsia"/>
          <w:sz w:val="32"/>
          <w:szCs w:val="32"/>
        </w:rPr>
        <w:t>依</w:t>
      </w:r>
      <w:r w:rsidR="00203622">
        <w:rPr>
          <w:rFonts w:ascii="Times New Roman" w:eastAsia="標楷體" w:hAnsi="Times New Roman" w:cs="Times New Roman" w:hint="eastAsia"/>
          <w:sz w:val="32"/>
          <w:szCs w:val="32"/>
        </w:rPr>
        <w:t>「</w:t>
      </w:r>
      <w:r w:rsidR="00203622" w:rsidRPr="00203622">
        <w:rPr>
          <w:rFonts w:ascii="Times New Roman" w:eastAsia="標楷體" w:hAnsi="Times New Roman" w:cs="Times New Roman" w:hint="eastAsia"/>
          <w:sz w:val="32"/>
          <w:szCs w:val="32"/>
        </w:rPr>
        <w:t>2013</w:t>
      </w:r>
      <w:r w:rsidR="00203622" w:rsidRPr="00203622">
        <w:rPr>
          <w:rFonts w:ascii="Times New Roman" w:eastAsia="標楷體" w:hAnsi="Times New Roman" w:cs="Times New Roman" w:hint="eastAsia"/>
          <w:sz w:val="32"/>
          <w:szCs w:val="32"/>
        </w:rPr>
        <w:t>年版</w:t>
      </w:r>
      <w:r w:rsidR="00203622" w:rsidRPr="00203622">
        <w:rPr>
          <w:rFonts w:ascii="Times New Roman" w:eastAsia="標楷體" w:hAnsi="Times New Roman" w:cs="Times New Roman" w:hint="eastAsia"/>
          <w:sz w:val="32"/>
          <w:szCs w:val="32"/>
        </w:rPr>
        <w:t>IFRSs</w:t>
      </w:r>
      <w:r w:rsidR="00203622" w:rsidRPr="00203622">
        <w:rPr>
          <w:rFonts w:ascii="Times New Roman" w:eastAsia="標楷體" w:hAnsi="Times New Roman" w:cs="Times New Roman" w:hint="eastAsia"/>
          <w:sz w:val="32"/>
          <w:szCs w:val="32"/>
        </w:rPr>
        <w:t>問答集</w:t>
      </w:r>
      <w:r w:rsidR="00203622">
        <w:rPr>
          <w:rFonts w:ascii="Times New Roman" w:eastAsia="標楷體" w:hAnsi="Times New Roman" w:cs="Times New Roman" w:hint="eastAsia"/>
          <w:sz w:val="32"/>
          <w:szCs w:val="32"/>
        </w:rPr>
        <w:t>」</w:t>
      </w:r>
      <w:r w:rsidR="00203622" w:rsidRPr="00203622">
        <w:rPr>
          <w:rFonts w:ascii="Times New Roman" w:eastAsia="標楷體" w:hAnsi="Times New Roman" w:cs="Times New Roman" w:hint="eastAsia"/>
          <w:sz w:val="32"/>
          <w:szCs w:val="32"/>
        </w:rPr>
        <w:t>規定「我國企業未來採用</w:t>
      </w:r>
      <w:r w:rsidR="00203622" w:rsidRPr="00203622">
        <w:rPr>
          <w:rFonts w:ascii="Times New Roman" w:eastAsia="標楷體" w:hAnsi="Times New Roman" w:cs="Times New Roman" w:hint="eastAsia"/>
          <w:sz w:val="32"/>
          <w:szCs w:val="32"/>
        </w:rPr>
        <w:t>2013</w:t>
      </w:r>
      <w:r w:rsidR="00203622" w:rsidRPr="00203622">
        <w:rPr>
          <w:rFonts w:ascii="Times New Roman" w:eastAsia="標楷體" w:hAnsi="Times New Roman" w:cs="Times New Roman" w:hint="eastAsia"/>
          <w:sz w:val="32"/>
          <w:szCs w:val="32"/>
        </w:rPr>
        <w:t>版時，原則上以</w:t>
      </w:r>
      <w:r w:rsidR="00203622" w:rsidRPr="00203622">
        <w:rPr>
          <w:rFonts w:ascii="Times New Roman" w:eastAsia="標楷體" w:hAnsi="Times New Roman" w:cs="Times New Roman" w:hint="eastAsia"/>
          <w:sz w:val="32"/>
          <w:szCs w:val="32"/>
        </w:rPr>
        <w:t>2015.1.1</w:t>
      </w:r>
      <w:r w:rsidR="00203622" w:rsidRPr="00203622">
        <w:rPr>
          <w:rFonts w:ascii="Times New Roman" w:eastAsia="標楷體" w:hAnsi="Times New Roman" w:cs="Times New Roman" w:hint="eastAsia"/>
          <w:sz w:val="32"/>
          <w:szCs w:val="32"/>
        </w:rPr>
        <w:t>為初次適用日。惟若企業因已發行或已申報發行海外存託憑證且依</w:t>
      </w:r>
      <w:r w:rsidR="00203622" w:rsidRPr="00203622">
        <w:rPr>
          <w:rFonts w:ascii="Times New Roman" w:eastAsia="標楷體" w:hAnsi="Times New Roman" w:cs="Times New Roman" w:hint="eastAsia"/>
          <w:sz w:val="32"/>
          <w:szCs w:val="32"/>
        </w:rPr>
        <w:t>103</w:t>
      </w:r>
      <w:r w:rsidR="00203622" w:rsidRPr="00203622">
        <w:rPr>
          <w:rFonts w:ascii="Times New Roman" w:eastAsia="標楷體" w:hAnsi="Times New Roman" w:cs="Times New Roman" w:hint="eastAsia"/>
          <w:sz w:val="32"/>
          <w:szCs w:val="32"/>
        </w:rPr>
        <w:t>年</w:t>
      </w:r>
      <w:r w:rsidR="00203622" w:rsidRPr="00203622">
        <w:rPr>
          <w:rFonts w:ascii="Times New Roman" w:eastAsia="標楷體" w:hAnsi="Times New Roman" w:cs="Times New Roman" w:hint="eastAsia"/>
          <w:sz w:val="32"/>
          <w:szCs w:val="32"/>
        </w:rPr>
        <w:t>4</w:t>
      </w:r>
      <w:r w:rsidR="00203622" w:rsidRPr="00203622">
        <w:rPr>
          <w:rFonts w:ascii="Times New Roman" w:eastAsia="標楷體" w:hAnsi="Times New Roman" w:cs="Times New Roman" w:hint="eastAsia"/>
          <w:sz w:val="32"/>
          <w:szCs w:val="32"/>
        </w:rPr>
        <w:t>月</w:t>
      </w:r>
      <w:r w:rsidR="00203622" w:rsidRPr="00203622">
        <w:rPr>
          <w:rFonts w:ascii="Times New Roman" w:eastAsia="標楷體" w:hAnsi="Times New Roman" w:cs="Times New Roman" w:hint="eastAsia"/>
          <w:sz w:val="32"/>
          <w:szCs w:val="32"/>
        </w:rPr>
        <w:t>3</w:t>
      </w:r>
      <w:r w:rsidR="00203622" w:rsidRPr="00203622">
        <w:rPr>
          <w:rFonts w:ascii="Times New Roman" w:eastAsia="標楷體" w:hAnsi="Times New Roman" w:cs="Times New Roman" w:hint="eastAsia"/>
          <w:sz w:val="32"/>
          <w:szCs w:val="32"/>
        </w:rPr>
        <w:t>日金</w:t>
      </w:r>
      <w:proofErr w:type="gramStart"/>
      <w:r w:rsidR="00203622" w:rsidRPr="00203622">
        <w:rPr>
          <w:rFonts w:ascii="Times New Roman" w:eastAsia="標楷體" w:hAnsi="Times New Roman" w:cs="Times New Roman" w:hint="eastAsia"/>
          <w:sz w:val="32"/>
          <w:szCs w:val="32"/>
        </w:rPr>
        <w:t>管證審字</w:t>
      </w:r>
      <w:proofErr w:type="gramEnd"/>
      <w:r w:rsidR="00203622" w:rsidRPr="00203622">
        <w:rPr>
          <w:rFonts w:ascii="Times New Roman" w:eastAsia="標楷體" w:hAnsi="Times New Roman" w:cs="Times New Roman" w:hint="eastAsia"/>
          <w:sz w:val="32"/>
          <w:szCs w:val="32"/>
        </w:rPr>
        <w:t>第</w:t>
      </w:r>
      <w:r w:rsidR="00203622" w:rsidRPr="00203622">
        <w:rPr>
          <w:rFonts w:ascii="Times New Roman" w:eastAsia="標楷體" w:hAnsi="Times New Roman" w:cs="Times New Roman" w:hint="eastAsia"/>
          <w:sz w:val="32"/>
          <w:szCs w:val="32"/>
        </w:rPr>
        <w:t>1030010325</w:t>
      </w:r>
      <w:r w:rsidR="00203622" w:rsidRPr="00203622">
        <w:rPr>
          <w:rFonts w:ascii="Times New Roman" w:eastAsia="標楷體" w:hAnsi="Times New Roman" w:cs="Times New Roman" w:hint="eastAsia"/>
          <w:sz w:val="32"/>
          <w:szCs w:val="32"/>
        </w:rPr>
        <w:t>號令自</w:t>
      </w:r>
      <w:r w:rsidR="00203622" w:rsidRPr="00203622">
        <w:rPr>
          <w:rFonts w:ascii="Times New Roman" w:eastAsia="標楷體" w:hAnsi="Times New Roman" w:cs="Times New Roman" w:hint="eastAsia"/>
          <w:sz w:val="32"/>
          <w:szCs w:val="32"/>
        </w:rPr>
        <w:t>103</w:t>
      </w:r>
      <w:r w:rsidR="00203622" w:rsidRPr="00203622">
        <w:rPr>
          <w:rFonts w:ascii="Times New Roman" w:eastAsia="標楷體" w:hAnsi="Times New Roman" w:cs="Times New Roman" w:hint="eastAsia"/>
          <w:sz w:val="32"/>
          <w:szCs w:val="32"/>
        </w:rPr>
        <w:t>年會計年度起採用</w:t>
      </w:r>
      <w:proofErr w:type="gramStart"/>
      <w:r w:rsidR="00203622" w:rsidRPr="00203622">
        <w:rPr>
          <w:rFonts w:ascii="Times New Roman" w:eastAsia="標楷體" w:hAnsi="Times New Roman" w:cs="Times New Roman" w:hint="eastAsia"/>
          <w:sz w:val="32"/>
          <w:szCs w:val="32"/>
        </w:rPr>
        <w:t>最</w:t>
      </w:r>
      <w:proofErr w:type="gramEnd"/>
      <w:r w:rsidR="00203622" w:rsidRPr="00203622">
        <w:rPr>
          <w:rFonts w:ascii="Times New Roman" w:eastAsia="標楷體" w:hAnsi="Times New Roman" w:cs="Times New Roman" w:hint="eastAsia"/>
          <w:sz w:val="32"/>
          <w:szCs w:val="32"/>
        </w:rPr>
        <w:t>新版國際會計準則理事會發布生效</w:t>
      </w:r>
      <w:proofErr w:type="gramStart"/>
      <w:r w:rsidR="00203622" w:rsidRPr="00203622">
        <w:rPr>
          <w:rFonts w:ascii="Times New Roman" w:eastAsia="標楷體" w:hAnsi="Times New Roman" w:cs="Times New Roman" w:hint="eastAsia"/>
          <w:sz w:val="32"/>
          <w:szCs w:val="32"/>
        </w:rPr>
        <w:t>之各號</w:t>
      </w:r>
      <w:r w:rsidR="00203622" w:rsidRPr="00203622">
        <w:rPr>
          <w:rFonts w:ascii="Times New Roman" w:eastAsia="標楷體" w:hAnsi="Times New Roman" w:cs="Times New Roman" w:hint="eastAsia"/>
          <w:sz w:val="32"/>
          <w:szCs w:val="32"/>
        </w:rPr>
        <w:lastRenderedPageBreak/>
        <w:t>公報</w:t>
      </w:r>
      <w:proofErr w:type="gramEnd"/>
      <w:r w:rsidR="00203622" w:rsidRPr="00203622">
        <w:rPr>
          <w:rFonts w:ascii="Times New Roman" w:eastAsia="標楷體" w:hAnsi="Times New Roman" w:cs="Times New Roman" w:hint="eastAsia"/>
          <w:sz w:val="32"/>
          <w:szCs w:val="32"/>
        </w:rPr>
        <w:t>編製財務報告者，須</w:t>
      </w:r>
      <w:proofErr w:type="gramStart"/>
      <w:r w:rsidR="00203622" w:rsidRPr="00203622">
        <w:rPr>
          <w:rFonts w:ascii="Times New Roman" w:eastAsia="標楷體" w:hAnsi="Times New Roman" w:cs="Times New Roman" w:hint="eastAsia"/>
          <w:sz w:val="32"/>
          <w:szCs w:val="32"/>
        </w:rPr>
        <w:t>依各號公報</w:t>
      </w:r>
      <w:proofErr w:type="gramEnd"/>
      <w:r w:rsidR="00203622" w:rsidRPr="00203622">
        <w:rPr>
          <w:rFonts w:ascii="Times New Roman" w:eastAsia="標楷體" w:hAnsi="Times New Roman" w:cs="Times New Roman" w:hint="eastAsia"/>
          <w:sz w:val="32"/>
          <w:szCs w:val="32"/>
        </w:rPr>
        <w:t>規定辦理。」</w:t>
      </w:r>
    </w:p>
    <w:p w:rsidR="00203622" w:rsidRPr="00C33BF5" w:rsidRDefault="00203622" w:rsidP="00203622">
      <w:pPr>
        <w:pStyle w:val="a7"/>
        <w:spacing w:before="100" w:beforeAutospacing="1" w:after="100" w:afterAutospacing="1" w:line="400" w:lineRule="exact"/>
        <w:ind w:leftChars="0" w:left="709" w:firstLineChars="200" w:firstLine="640"/>
        <w:rPr>
          <w:rFonts w:ascii="Times New Roman" w:eastAsia="標楷體" w:hAnsi="Times New Roman" w:cs="Times New Roman"/>
          <w:sz w:val="32"/>
          <w:szCs w:val="32"/>
        </w:rPr>
      </w:pPr>
      <w:r>
        <w:rPr>
          <w:rFonts w:ascii="Times New Roman" w:eastAsia="標楷體" w:hAnsi="Times New Roman" w:cs="Times New Roman" w:hint="eastAsia"/>
          <w:sz w:val="32"/>
          <w:szCs w:val="32"/>
        </w:rPr>
        <w:t>綜上，</w:t>
      </w:r>
      <w:r w:rsidRPr="00203622">
        <w:rPr>
          <w:rFonts w:ascii="Times New Roman" w:eastAsia="標楷體" w:hAnsi="Times New Roman" w:cs="Times New Roman" w:hint="eastAsia"/>
          <w:sz w:val="32"/>
          <w:szCs w:val="32"/>
        </w:rPr>
        <w:t>我國上市上櫃</w:t>
      </w:r>
      <w:proofErr w:type="gramStart"/>
      <w:r w:rsidRPr="00203622">
        <w:rPr>
          <w:rFonts w:ascii="Times New Roman" w:eastAsia="標楷體" w:hAnsi="Times New Roman" w:cs="Times New Roman" w:hint="eastAsia"/>
          <w:sz w:val="32"/>
          <w:szCs w:val="32"/>
        </w:rPr>
        <w:t>及興櫃公司</w:t>
      </w:r>
      <w:proofErr w:type="gramEnd"/>
      <w:r w:rsidRPr="00203622">
        <w:rPr>
          <w:rFonts w:ascii="Times New Roman" w:eastAsia="標楷體" w:hAnsi="Times New Roman" w:cs="Times New Roman" w:hint="eastAsia"/>
          <w:sz w:val="32"/>
          <w:szCs w:val="32"/>
        </w:rPr>
        <w:t>應自民國</w:t>
      </w:r>
      <w:r w:rsidRPr="00203622">
        <w:rPr>
          <w:rFonts w:ascii="Times New Roman" w:eastAsia="標楷體" w:hAnsi="Times New Roman" w:cs="Times New Roman" w:hint="eastAsia"/>
          <w:sz w:val="32"/>
          <w:szCs w:val="32"/>
        </w:rPr>
        <w:t>104</w:t>
      </w:r>
      <w:r w:rsidRPr="00203622">
        <w:rPr>
          <w:rFonts w:ascii="Times New Roman" w:eastAsia="標楷體" w:hAnsi="Times New Roman" w:cs="Times New Roman" w:hint="eastAsia"/>
          <w:sz w:val="32"/>
          <w:szCs w:val="32"/>
        </w:rPr>
        <w:t>年</w:t>
      </w:r>
      <w:r w:rsidRPr="00203622">
        <w:rPr>
          <w:rFonts w:ascii="Times New Roman" w:eastAsia="標楷體" w:hAnsi="Times New Roman" w:cs="Times New Roman" w:hint="eastAsia"/>
          <w:sz w:val="32"/>
          <w:szCs w:val="32"/>
        </w:rPr>
        <w:t>1</w:t>
      </w:r>
      <w:r w:rsidRPr="00203622">
        <w:rPr>
          <w:rFonts w:ascii="Times New Roman" w:eastAsia="標楷體" w:hAnsi="Times New Roman" w:cs="Times New Roman" w:hint="eastAsia"/>
          <w:sz w:val="32"/>
          <w:szCs w:val="32"/>
        </w:rPr>
        <w:t>月</w:t>
      </w:r>
      <w:r w:rsidRPr="00203622">
        <w:rPr>
          <w:rFonts w:ascii="Times New Roman" w:eastAsia="標楷體" w:hAnsi="Times New Roman" w:cs="Times New Roman" w:hint="eastAsia"/>
          <w:sz w:val="32"/>
          <w:szCs w:val="32"/>
        </w:rPr>
        <w:t>1</w:t>
      </w:r>
      <w:r w:rsidRPr="00203622">
        <w:rPr>
          <w:rFonts w:ascii="Times New Roman" w:eastAsia="標楷體" w:hAnsi="Times New Roman" w:cs="Times New Roman" w:hint="eastAsia"/>
          <w:sz w:val="32"/>
          <w:szCs w:val="32"/>
        </w:rPr>
        <w:t>日開始適用</w:t>
      </w:r>
      <w:r w:rsidRPr="00203622">
        <w:rPr>
          <w:rFonts w:ascii="Times New Roman" w:eastAsia="標楷體" w:hAnsi="Times New Roman" w:cs="Times New Roman" w:hint="eastAsia"/>
          <w:sz w:val="32"/>
          <w:szCs w:val="32"/>
        </w:rPr>
        <w:t>IFRS 12</w:t>
      </w:r>
      <w:r w:rsidRPr="00203622">
        <w:rPr>
          <w:rFonts w:ascii="Times New Roman" w:eastAsia="標楷體" w:hAnsi="Times New Roman" w:cs="Times New Roman" w:hint="eastAsia"/>
          <w:sz w:val="32"/>
          <w:szCs w:val="32"/>
        </w:rPr>
        <w:t>，且</w:t>
      </w:r>
      <w:r w:rsidRPr="00203622">
        <w:rPr>
          <w:rFonts w:ascii="Times New Roman" w:eastAsia="標楷體" w:hAnsi="Times New Roman" w:cs="Times New Roman" w:hint="eastAsia"/>
          <w:sz w:val="32"/>
          <w:szCs w:val="32"/>
          <w:u w:val="single"/>
        </w:rPr>
        <w:t>民國</w:t>
      </w:r>
      <w:r w:rsidRPr="00203622">
        <w:rPr>
          <w:rFonts w:ascii="Times New Roman" w:eastAsia="標楷體" w:hAnsi="Times New Roman" w:cs="Times New Roman" w:hint="eastAsia"/>
          <w:sz w:val="32"/>
          <w:szCs w:val="32"/>
          <w:u w:val="single"/>
        </w:rPr>
        <w:t>104</w:t>
      </w:r>
      <w:r w:rsidRPr="00203622">
        <w:rPr>
          <w:rFonts w:ascii="Times New Roman" w:eastAsia="標楷體" w:hAnsi="Times New Roman" w:cs="Times New Roman" w:hint="eastAsia"/>
          <w:sz w:val="32"/>
          <w:szCs w:val="32"/>
          <w:u w:val="single"/>
        </w:rPr>
        <w:t>年之財務報告，針對第</w:t>
      </w:r>
      <w:r w:rsidRPr="00203622">
        <w:rPr>
          <w:rFonts w:ascii="Times New Roman" w:eastAsia="標楷體" w:hAnsi="Times New Roman" w:cs="Times New Roman"/>
          <w:sz w:val="32"/>
          <w:szCs w:val="32"/>
          <w:u w:val="single"/>
        </w:rPr>
        <w:t>24</w:t>
      </w:r>
      <w:r w:rsidRPr="00203622">
        <w:rPr>
          <w:rFonts w:ascii="Times New Roman" w:eastAsia="標楷體" w:hAnsi="Times New Roman" w:cs="Times New Roman" w:hint="eastAsia"/>
          <w:sz w:val="32"/>
          <w:szCs w:val="32"/>
          <w:u w:val="single"/>
        </w:rPr>
        <w:t>至</w:t>
      </w:r>
      <w:r w:rsidRPr="00203622">
        <w:rPr>
          <w:rFonts w:ascii="Times New Roman" w:eastAsia="標楷體" w:hAnsi="Times New Roman" w:cs="Times New Roman"/>
          <w:sz w:val="32"/>
          <w:szCs w:val="32"/>
          <w:u w:val="single"/>
        </w:rPr>
        <w:t>31</w:t>
      </w:r>
      <w:r w:rsidRPr="00203622">
        <w:rPr>
          <w:rFonts w:ascii="Times New Roman" w:eastAsia="標楷體" w:hAnsi="Times New Roman" w:cs="Times New Roman" w:hint="eastAsia"/>
          <w:sz w:val="32"/>
          <w:szCs w:val="32"/>
          <w:u w:val="single"/>
        </w:rPr>
        <w:t>段之揭露事項僅須揭露民國</w:t>
      </w:r>
      <w:r w:rsidRPr="00203622">
        <w:rPr>
          <w:rFonts w:ascii="Times New Roman" w:eastAsia="標楷體" w:hAnsi="Times New Roman" w:cs="Times New Roman" w:hint="eastAsia"/>
          <w:sz w:val="32"/>
          <w:szCs w:val="32"/>
          <w:u w:val="single"/>
        </w:rPr>
        <w:t>104</w:t>
      </w:r>
      <w:r w:rsidRPr="00203622">
        <w:rPr>
          <w:rFonts w:ascii="Times New Roman" w:eastAsia="標楷體" w:hAnsi="Times New Roman" w:cs="Times New Roman" w:hint="eastAsia"/>
          <w:sz w:val="32"/>
          <w:szCs w:val="32"/>
          <w:u w:val="single"/>
        </w:rPr>
        <w:t>年之資訊，無須揭露比較期民國</w:t>
      </w:r>
      <w:r w:rsidRPr="00203622">
        <w:rPr>
          <w:rFonts w:ascii="Times New Roman" w:eastAsia="標楷體" w:hAnsi="Times New Roman" w:cs="Times New Roman" w:hint="eastAsia"/>
          <w:sz w:val="32"/>
          <w:szCs w:val="32"/>
          <w:u w:val="single"/>
        </w:rPr>
        <w:t>103</w:t>
      </w:r>
      <w:r w:rsidRPr="00203622">
        <w:rPr>
          <w:rFonts w:ascii="Times New Roman" w:eastAsia="標楷體" w:hAnsi="Times New Roman" w:cs="Times New Roman" w:hint="eastAsia"/>
          <w:sz w:val="32"/>
          <w:szCs w:val="32"/>
          <w:u w:val="single"/>
        </w:rPr>
        <w:t>年之資訊</w:t>
      </w:r>
      <w:r w:rsidRPr="00203622">
        <w:rPr>
          <w:rFonts w:ascii="Times New Roman" w:eastAsia="標楷體" w:hAnsi="Times New Roman" w:cs="Times New Roman" w:hint="eastAsia"/>
          <w:sz w:val="32"/>
          <w:szCs w:val="32"/>
        </w:rPr>
        <w:t>。</w:t>
      </w:r>
    </w:p>
    <w:p w:rsidR="00853DC3" w:rsidRPr="0025664C" w:rsidRDefault="00853DC3" w:rsidP="002F10EF">
      <w:pPr>
        <w:pStyle w:val="a7"/>
        <w:numPr>
          <w:ilvl w:val="0"/>
          <w:numId w:val="1"/>
        </w:numPr>
        <w:ind w:leftChars="0" w:left="709" w:hanging="709"/>
        <w:rPr>
          <w:rFonts w:ascii="標楷體" w:eastAsia="標楷體" w:hAnsi="標楷體"/>
          <w:b/>
          <w:sz w:val="32"/>
          <w:szCs w:val="32"/>
        </w:rPr>
      </w:pPr>
      <w:r w:rsidRPr="0025664C">
        <w:rPr>
          <w:rFonts w:ascii="標楷體" w:eastAsia="標楷體" w:hAnsi="標楷體" w:hint="eastAsia"/>
          <w:b/>
          <w:sz w:val="32"/>
          <w:szCs w:val="32"/>
        </w:rPr>
        <w:t>資料來源</w:t>
      </w:r>
    </w:p>
    <w:p w:rsidR="00EF2451" w:rsidRPr="00B244C6" w:rsidRDefault="00600ED3" w:rsidP="00600ED3">
      <w:pPr>
        <w:pStyle w:val="a7"/>
        <w:numPr>
          <w:ilvl w:val="0"/>
          <w:numId w:val="22"/>
        </w:numPr>
        <w:ind w:leftChars="0"/>
        <w:rPr>
          <w:rFonts w:ascii="Times New Roman" w:eastAsia="標楷體" w:hAnsi="Times New Roman" w:cs="Times New Roman"/>
          <w:color w:val="000000" w:themeColor="text1"/>
          <w:sz w:val="32"/>
          <w:szCs w:val="32"/>
        </w:rPr>
      </w:pPr>
      <w:r w:rsidRPr="00600ED3">
        <w:rPr>
          <w:rFonts w:ascii="Times New Roman" w:eastAsia="標楷體" w:hAnsi="Times New Roman" w:cs="Times New Roman"/>
          <w:color w:val="000000" w:themeColor="text1"/>
          <w:sz w:val="32"/>
          <w:szCs w:val="32"/>
        </w:rPr>
        <w:t>IFRS 12</w:t>
      </w:r>
      <w:r w:rsidRPr="00600ED3">
        <w:rPr>
          <w:rFonts w:ascii="Times New Roman" w:eastAsia="標楷體" w:hAnsi="Times New Roman" w:cs="Times New Roman"/>
          <w:sz w:val="32"/>
          <w:szCs w:val="32"/>
        </w:rPr>
        <w:t>對其他個體之權益之揭露</w:t>
      </w:r>
      <w:r w:rsidRPr="00600ED3">
        <w:rPr>
          <w:rFonts w:ascii="Times New Roman" w:eastAsia="標楷體" w:hAnsi="標楷體" w:cs="Times New Roman"/>
          <w:color w:val="000000" w:themeColor="text1"/>
          <w:sz w:val="32"/>
          <w:szCs w:val="32"/>
        </w:rPr>
        <w:t>正體中文版</w:t>
      </w:r>
    </w:p>
    <w:p w:rsidR="00600ED3" w:rsidRDefault="00F80FE1" w:rsidP="00600ED3">
      <w:pPr>
        <w:pStyle w:val="a7"/>
        <w:numPr>
          <w:ilvl w:val="0"/>
          <w:numId w:val="22"/>
        </w:numPr>
        <w:ind w:leftChars="0"/>
        <w:rPr>
          <w:rFonts w:ascii="Times New Roman" w:eastAsia="標楷體" w:hAnsi="Times New Roman" w:cs="Times New Roman"/>
          <w:sz w:val="32"/>
          <w:szCs w:val="32"/>
        </w:rPr>
      </w:pPr>
      <w:r>
        <w:rPr>
          <w:rFonts w:ascii="Times New Roman" w:eastAsia="標楷體" w:hAnsi="Times New Roman" w:cs="Times New Roman"/>
          <w:sz w:val="32"/>
          <w:szCs w:val="32"/>
        </w:rPr>
        <w:t xml:space="preserve"> </w:t>
      </w:r>
      <w:r w:rsidR="00433DCB">
        <w:rPr>
          <w:rFonts w:ascii="Times New Roman" w:eastAsia="標楷體" w:hAnsi="Times New Roman" w:cs="Times New Roman"/>
          <w:sz w:val="32"/>
          <w:szCs w:val="32"/>
        </w:rPr>
        <w:t>“</w:t>
      </w:r>
      <w:r w:rsidR="00433DCB" w:rsidRPr="00433DCB">
        <w:rPr>
          <w:rFonts w:ascii="Times New Roman" w:eastAsia="標楷體" w:hAnsi="Times New Roman" w:cs="Times New Roman"/>
          <w:sz w:val="32"/>
          <w:szCs w:val="32"/>
        </w:rPr>
        <w:t>Guide to annual financial statements - IFRS 12 supplement (February 2014)</w:t>
      </w:r>
      <w:r w:rsidR="00600ED3">
        <w:rPr>
          <w:rFonts w:ascii="Times New Roman" w:eastAsia="標楷體" w:hAnsi="Times New Roman" w:cs="Times New Roman"/>
          <w:sz w:val="32"/>
          <w:szCs w:val="32"/>
        </w:rPr>
        <w:t>”</w:t>
      </w:r>
      <w:r w:rsidR="00600ED3">
        <w:rPr>
          <w:rFonts w:ascii="Times New Roman" w:eastAsia="標楷體" w:hAnsi="Times New Roman" w:cs="Times New Roman" w:hint="eastAsia"/>
          <w:sz w:val="32"/>
          <w:szCs w:val="32"/>
        </w:rPr>
        <w:t xml:space="preserve"> (KPMG)</w:t>
      </w:r>
    </w:p>
    <w:p w:rsidR="00600ED3" w:rsidRDefault="00433DCB" w:rsidP="00600ED3">
      <w:pPr>
        <w:pStyle w:val="a7"/>
        <w:numPr>
          <w:ilvl w:val="0"/>
          <w:numId w:val="22"/>
        </w:numPr>
        <w:ind w:leftChars="0"/>
        <w:rPr>
          <w:rFonts w:ascii="Times New Roman" w:eastAsia="標楷體" w:hAnsi="Times New Roman" w:cs="Times New Roman"/>
          <w:sz w:val="32"/>
          <w:szCs w:val="32"/>
        </w:rPr>
      </w:pPr>
      <w:r>
        <w:rPr>
          <w:rFonts w:ascii="Times New Roman" w:eastAsia="標楷體" w:hAnsi="Times New Roman" w:cs="Times New Roman"/>
          <w:sz w:val="32"/>
          <w:szCs w:val="32"/>
        </w:rPr>
        <w:t>“</w:t>
      </w:r>
      <w:r w:rsidRPr="00433DCB">
        <w:rPr>
          <w:rFonts w:ascii="Times New Roman" w:eastAsia="標楷體" w:hAnsi="Times New Roman" w:cs="Times New Roman"/>
          <w:sz w:val="32"/>
          <w:szCs w:val="32"/>
        </w:rPr>
        <w:t>Guide to annual financial statements - Illustrative disclosures for banks (2013)</w:t>
      </w:r>
      <w:r w:rsidR="00600ED3">
        <w:rPr>
          <w:rFonts w:ascii="Times New Roman" w:eastAsia="標楷體" w:hAnsi="Times New Roman" w:cs="Times New Roman"/>
          <w:sz w:val="32"/>
          <w:szCs w:val="32"/>
        </w:rPr>
        <w:t>”</w:t>
      </w:r>
      <w:r w:rsidR="00600ED3">
        <w:rPr>
          <w:rFonts w:ascii="Times New Roman" w:eastAsia="標楷體" w:hAnsi="Times New Roman" w:cs="Times New Roman" w:hint="eastAsia"/>
          <w:sz w:val="32"/>
          <w:szCs w:val="32"/>
        </w:rPr>
        <w:t xml:space="preserve"> (KPMG)</w:t>
      </w:r>
    </w:p>
    <w:p w:rsidR="00106A46" w:rsidRDefault="00106A46" w:rsidP="00600ED3">
      <w:pPr>
        <w:pStyle w:val="a7"/>
        <w:numPr>
          <w:ilvl w:val="0"/>
          <w:numId w:val="22"/>
        </w:numPr>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Insights into IFRS 10</w:t>
      </w:r>
      <w:r w:rsidRPr="00106A46">
        <w:rPr>
          <w:rFonts w:ascii="Times New Roman" w:eastAsia="標楷體" w:hAnsi="Times New Roman" w:cs="Times New Roman" w:hint="eastAsia"/>
          <w:sz w:val="32"/>
          <w:szCs w:val="32"/>
          <w:vertAlign w:val="superscript"/>
        </w:rPr>
        <w:t>th</w:t>
      </w:r>
      <w:r>
        <w:rPr>
          <w:rFonts w:ascii="Times New Roman" w:eastAsia="標楷體" w:hAnsi="Times New Roman" w:cs="Times New Roman" w:hint="eastAsia"/>
          <w:sz w:val="32"/>
          <w:szCs w:val="32"/>
        </w:rPr>
        <w:t xml:space="preserve"> edition (KPMG)</w:t>
      </w:r>
    </w:p>
    <w:p w:rsidR="00853DC3" w:rsidRPr="0025664C" w:rsidRDefault="00853DC3" w:rsidP="002F10EF">
      <w:pPr>
        <w:pStyle w:val="a7"/>
        <w:numPr>
          <w:ilvl w:val="0"/>
          <w:numId w:val="1"/>
        </w:numPr>
        <w:ind w:leftChars="0" w:left="709" w:hanging="709"/>
        <w:rPr>
          <w:rFonts w:ascii="標楷體" w:eastAsia="標楷體" w:hAnsi="標楷體"/>
          <w:b/>
          <w:sz w:val="32"/>
          <w:szCs w:val="32"/>
        </w:rPr>
      </w:pPr>
      <w:r w:rsidRPr="0025664C">
        <w:rPr>
          <w:rFonts w:ascii="標楷體" w:eastAsia="標楷體" w:hAnsi="標楷體" w:hint="eastAsia"/>
          <w:b/>
          <w:sz w:val="32"/>
          <w:szCs w:val="32"/>
        </w:rPr>
        <w:t>其他</w:t>
      </w:r>
      <w:r w:rsidR="00735933">
        <w:rPr>
          <w:rFonts w:ascii="標楷體" w:eastAsia="標楷體" w:hAnsi="標楷體" w:hint="eastAsia"/>
          <w:b/>
          <w:sz w:val="32"/>
          <w:szCs w:val="32"/>
        </w:rPr>
        <w:t>：</w:t>
      </w:r>
      <w:r w:rsidR="00735933">
        <w:rPr>
          <w:rFonts w:ascii="標楷體" w:eastAsia="標楷體" w:hAnsi="標楷體" w:hint="eastAsia"/>
          <w:sz w:val="32"/>
          <w:szCs w:val="32"/>
        </w:rPr>
        <w:t>宣導會講義及</w:t>
      </w:r>
      <w:proofErr w:type="spellStart"/>
      <w:r w:rsidR="00735933">
        <w:rPr>
          <w:rFonts w:ascii="標楷體" w:eastAsia="標楷體" w:hAnsi="標楷體" w:hint="eastAsia"/>
          <w:sz w:val="32"/>
          <w:szCs w:val="32"/>
        </w:rPr>
        <w:t>Webpro</w:t>
      </w:r>
      <w:proofErr w:type="spellEnd"/>
      <w:r w:rsidR="00735933">
        <w:rPr>
          <w:rFonts w:ascii="標楷體" w:eastAsia="標楷體" w:hAnsi="標楷體" w:hint="eastAsia"/>
          <w:sz w:val="32"/>
          <w:szCs w:val="32"/>
        </w:rPr>
        <w:t>影音連結。</w:t>
      </w:r>
    </w:p>
    <w:p w:rsidR="00530619" w:rsidRPr="00EF2451" w:rsidRDefault="00530619" w:rsidP="00530619">
      <w:pPr>
        <w:pStyle w:val="a7"/>
        <w:ind w:leftChars="0" w:left="709"/>
        <w:rPr>
          <w:rFonts w:ascii="Times New Roman" w:eastAsia="標楷體" w:hAnsi="Times New Roman" w:cs="Times New Roman"/>
          <w:sz w:val="32"/>
          <w:szCs w:val="32"/>
        </w:rPr>
      </w:pPr>
    </w:p>
    <w:p w:rsidR="00BE3F12" w:rsidRDefault="00BE3F12" w:rsidP="005C2763">
      <w:pPr>
        <w:pStyle w:val="a7"/>
        <w:spacing w:before="100" w:beforeAutospacing="1" w:after="100" w:afterAutospacing="1" w:line="400" w:lineRule="exact"/>
        <w:ind w:leftChars="0" w:left="709"/>
        <w:rPr>
          <w:rFonts w:ascii="標楷體" w:eastAsia="標楷體" w:hAnsi="標楷體"/>
          <w:sz w:val="32"/>
          <w:szCs w:val="32"/>
        </w:rPr>
      </w:pPr>
    </w:p>
    <w:p w:rsidR="008C6A4A" w:rsidRPr="00BD2CF2" w:rsidRDefault="008C6A4A" w:rsidP="008C6A4A">
      <w:pPr>
        <w:rPr>
          <w:rFonts w:ascii="標楷體" w:eastAsia="標楷體" w:hAnsi="標楷體"/>
          <w:sz w:val="32"/>
          <w:szCs w:val="32"/>
        </w:rPr>
      </w:pPr>
    </w:p>
    <w:sectPr w:rsidR="008C6A4A" w:rsidRPr="00BD2CF2" w:rsidSect="0083717F">
      <w:footerReference w:type="default" r:id="rId8"/>
      <w:pgSz w:w="11906" w:h="16838"/>
      <w:pgMar w:top="1440" w:right="1800" w:bottom="1440" w:left="1800" w:header="851" w:footer="58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FC" w:rsidRDefault="002750FC" w:rsidP="00853DC3">
      <w:r>
        <w:separator/>
      </w:r>
    </w:p>
  </w:endnote>
  <w:endnote w:type="continuationSeparator" w:id="0">
    <w:p w:rsidR="002750FC" w:rsidRDefault="002750FC" w:rsidP="00853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7170"/>
      <w:docPartObj>
        <w:docPartGallery w:val="Page Numbers (Bottom of Page)"/>
        <w:docPartUnique/>
      </w:docPartObj>
    </w:sdtPr>
    <w:sdtEndPr>
      <w:rPr>
        <w:rFonts w:ascii="Times New Roman" w:hAnsi="Times New Roman" w:cs="Times New Roman"/>
        <w:sz w:val="24"/>
        <w:szCs w:val="24"/>
      </w:rPr>
    </w:sdtEndPr>
    <w:sdtContent>
      <w:p w:rsidR="00215388" w:rsidRPr="0083717F" w:rsidRDefault="00292E9A">
        <w:pPr>
          <w:pStyle w:val="a5"/>
          <w:jc w:val="center"/>
          <w:rPr>
            <w:rFonts w:ascii="Times New Roman" w:hAnsi="Times New Roman" w:cs="Times New Roman"/>
            <w:sz w:val="24"/>
            <w:szCs w:val="24"/>
          </w:rPr>
        </w:pPr>
        <w:r w:rsidRPr="0083717F">
          <w:rPr>
            <w:rFonts w:ascii="Times New Roman" w:hAnsi="Times New Roman" w:cs="Times New Roman"/>
            <w:sz w:val="24"/>
            <w:szCs w:val="24"/>
          </w:rPr>
          <w:fldChar w:fldCharType="begin"/>
        </w:r>
        <w:r w:rsidR="00215388" w:rsidRPr="0083717F">
          <w:rPr>
            <w:rFonts w:ascii="Times New Roman" w:hAnsi="Times New Roman" w:cs="Times New Roman"/>
            <w:sz w:val="24"/>
            <w:szCs w:val="24"/>
          </w:rPr>
          <w:instrText xml:space="preserve"> PAGE   \* MERGEFORMAT </w:instrText>
        </w:r>
        <w:r w:rsidRPr="0083717F">
          <w:rPr>
            <w:rFonts w:ascii="Times New Roman" w:hAnsi="Times New Roman" w:cs="Times New Roman"/>
            <w:sz w:val="24"/>
            <w:szCs w:val="24"/>
          </w:rPr>
          <w:fldChar w:fldCharType="separate"/>
        </w:r>
        <w:r w:rsidR="00CA62B0" w:rsidRPr="00CA62B0">
          <w:rPr>
            <w:rFonts w:ascii="Times New Roman" w:hAnsi="Times New Roman" w:cs="Times New Roman"/>
            <w:noProof/>
            <w:sz w:val="24"/>
            <w:szCs w:val="24"/>
            <w:lang w:val="zh-TW"/>
          </w:rPr>
          <w:t>1</w:t>
        </w:r>
        <w:r w:rsidRPr="0083717F">
          <w:rPr>
            <w:rFonts w:ascii="Times New Roman" w:hAnsi="Times New Roman" w:cs="Times New Roman"/>
            <w:sz w:val="24"/>
            <w:szCs w:val="24"/>
          </w:rPr>
          <w:fldChar w:fldCharType="end"/>
        </w:r>
      </w:p>
    </w:sdtContent>
  </w:sdt>
  <w:p w:rsidR="00215388" w:rsidRDefault="002153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FC" w:rsidRDefault="002750FC" w:rsidP="00853DC3">
      <w:r>
        <w:separator/>
      </w:r>
    </w:p>
  </w:footnote>
  <w:footnote w:type="continuationSeparator" w:id="0">
    <w:p w:rsidR="002750FC" w:rsidRDefault="002750FC" w:rsidP="00853DC3">
      <w:r>
        <w:continuationSeparator/>
      </w:r>
    </w:p>
  </w:footnote>
  <w:footnote w:id="1">
    <w:p w:rsidR="00215388" w:rsidRPr="0017494E" w:rsidRDefault="00215388" w:rsidP="00DA746C">
      <w:pPr>
        <w:autoSpaceDE w:val="0"/>
        <w:autoSpaceDN w:val="0"/>
        <w:adjustRightInd w:val="0"/>
        <w:spacing w:line="240" w:lineRule="atLeast"/>
        <w:ind w:left="142" w:hangingChars="59" w:hanging="142"/>
        <w:jc w:val="both"/>
        <w:rPr>
          <w:szCs w:val="24"/>
        </w:rPr>
      </w:pPr>
      <w:r w:rsidRPr="0017494E">
        <w:rPr>
          <w:rStyle w:val="ad"/>
          <w:szCs w:val="24"/>
        </w:rPr>
        <w:footnoteRef/>
      </w:r>
      <w:r>
        <w:rPr>
          <w:rFonts w:ascii="Times New Roman" w:eastAsia="標楷體" w:hAnsi="標楷體" w:cs="Times New Roman"/>
          <w:color w:val="000000" w:themeColor="text1"/>
          <w:szCs w:val="24"/>
        </w:rPr>
        <w:tab/>
      </w:r>
      <w:proofErr w:type="gramStart"/>
      <w:r w:rsidRPr="00334FDC">
        <w:rPr>
          <w:rFonts w:ascii="Times New Roman" w:eastAsia="標楷體" w:hAnsi="標楷體" w:cs="Times New Roman" w:hint="eastAsia"/>
          <w:color w:val="000000" w:themeColor="text1"/>
          <w:szCs w:val="24"/>
        </w:rPr>
        <w:t>本例係假設</w:t>
      </w:r>
      <w:proofErr w:type="gramEnd"/>
      <w:r w:rsidRPr="00334FDC">
        <w:rPr>
          <w:rFonts w:ascii="Times New Roman" w:eastAsia="標楷體" w:hAnsi="標楷體" w:cs="Times New Roman" w:hint="eastAsia"/>
          <w:color w:val="000000" w:themeColor="text1"/>
          <w:szCs w:val="24"/>
        </w:rPr>
        <w:t>此個別交易金額或性質重大所作之敘述性說明。</w:t>
      </w:r>
      <w:r w:rsidRPr="00334FDC">
        <w:rPr>
          <w:rFonts w:ascii="標楷體" w:eastAsia="標楷體" w:cs="標楷體" w:hint="eastAsia"/>
          <w:kern w:val="0"/>
          <w:szCs w:val="24"/>
        </w:rPr>
        <w:t>若交易</w:t>
      </w:r>
      <w:r w:rsidRPr="00334FDC">
        <w:rPr>
          <w:rFonts w:ascii="Times New Roman" w:eastAsia="標楷體" w:hAnsi="標楷體" w:cs="Times New Roman" w:hint="eastAsia"/>
          <w:color w:val="000000" w:themeColor="text1"/>
          <w:szCs w:val="24"/>
        </w:rPr>
        <w:t>繁多應依</w:t>
      </w:r>
      <w:r w:rsidRPr="00334FDC">
        <w:rPr>
          <w:rFonts w:ascii="Times New Roman" w:eastAsia="標楷體" w:hAnsi="標楷體" w:cs="Times New Roman" w:hint="eastAsia"/>
          <w:color w:val="000000" w:themeColor="text1"/>
          <w:szCs w:val="24"/>
        </w:rPr>
        <w:t>IFRS 12</w:t>
      </w:r>
      <w:r w:rsidRPr="00334FDC">
        <w:rPr>
          <w:rFonts w:ascii="Times New Roman" w:eastAsia="標楷體" w:hAnsi="標楷體" w:cs="Times New Roman" w:hint="eastAsia"/>
          <w:color w:val="000000" w:themeColor="text1"/>
          <w:szCs w:val="24"/>
        </w:rPr>
        <w:t>第</w:t>
      </w:r>
      <w:r w:rsidRPr="00334FDC">
        <w:rPr>
          <w:rFonts w:ascii="Times New Roman" w:eastAsia="標楷體" w:hAnsi="標楷體" w:cs="Times New Roman" w:hint="eastAsia"/>
          <w:color w:val="000000" w:themeColor="text1"/>
          <w:szCs w:val="24"/>
        </w:rPr>
        <w:t>4</w:t>
      </w:r>
      <w:r w:rsidRPr="00334FDC">
        <w:rPr>
          <w:rFonts w:ascii="Times New Roman" w:eastAsia="標楷體" w:hAnsi="標楷體" w:cs="Times New Roman" w:hint="eastAsia"/>
          <w:color w:val="000000" w:themeColor="text1"/>
          <w:szCs w:val="24"/>
        </w:rPr>
        <w:t>段及</w:t>
      </w:r>
      <w:r w:rsidRPr="00334FDC">
        <w:rPr>
          <w:rFonts w:ascii="Times New Roman" w:eastAsia="標楷體" w:hAnsi="標楷體" w:cs="Times New Roman" w:hint="eastAsia"/>
          <w:color w:val="000000" w:themeColor="text1"/>
          <w:szCs w:val="24"/>
        </w:rPr>
        <w:t>B2</w:t>
      </w:r>
      <w:r w:rsidRPr="00334FDC">
        <w:rPr>
          <w:rFonts w:ascii="Times New Roman" w:eastAsia="標楷體" w:hAnsi="標楷體" w:cs="Times New Roman" w:hint="eastAsia"/>
          <w:color w:val="000000" w:themeColor="text1"/>
          <w:szCs w:val="24"/>
        </w:rPr>
        <w:t>至</w:t>
      </w:r>
      <w:r w:rsidRPr="00334FDC">
        <w:rPr>
          <w:rFonts w:ascii="Times New Roman" w:eastAsia="標楷體" w:hAnsi="標楷體" w:cs="Times New Roman" w:hint="eastAsia"/>
          <w:color w:val="000000" w:themeColor="text1"/>
          <w:szCs w:val="24"/>
        </w:rPr>
        <w:t>B6</w:t>
      </w:r>
      <w:r w:rsidRPr="00334FDC">
        <w:rPr>
          <w:rFonts w:ascii="Times New Roman" w:eastAsia="標楷體" w:hAnsi="標楷體" w:cs="Times New Roman" w:hint="eastAsia"/>
          <w:color w:val="000000" w:themeColor="text1"/>
          <w:szCs w:val="24"/>
        </w:rPr>
        <w:t>之規定予以適當彙總揭露。</w:t>
      </w:r>
    </w:p>
  </w:footnote>
  <w:footnote w:id="2">
    <w:p w:rsidR="00215388" w:rsidRPr="00DF0776" w:rsidRDefault="00215388" w:rsidP="00DA746C">
      <w:pPr>
        <w:autoSpaceDE w:val="0"/>
        <w:autoSpaceDN w:val="0"/>
        <w:adjustRightInd w:val="0"/>
        <w:ind w:left="142" w:hangingChars="59" w:hanging="142"/>
      </w:pPr>
      <w:r w:rsidRPr="0017494E">
        <w:rPr>
          <w:rStyle w:val="ad"/>
          <w:szCs w:val="24"/>
        </w:rPr>
        <w:footnoteRef/>
      </w:r>
      <w:r>
        <w:rPr>
          <w:rFonts w:ascii="Times New Roman" w:eastAsia="標楷體" w:hAnsi="標楷體" w:cs="Times New Roman"/>
          <w:color w:val="000000" w:themeColor="text1"/>
          <w:szCs w:val="24"/>
        </w:rPr>
        <w:tab/>
      </w:r>
      <w:r w:rsidRPr="0017494E">
        <w:rPr>
          <w:rFonts w:ascii="Times New Roman" w:eastAsia="標楷體" w:hAnsi="標楷體" w:cs="Times New Roman" w:hint="eastAsia"/>
          <w:color w:val="000000" w:themeColor="text1"/>
          <w:szCs w:val="24"/>
        </w:rPr>
        <w:t>依</w:t>
      </w:r>
      <w:r w:rsidRPr="0017494E">
        <w:rPr>
          <w:rFonts w:ascii="Times New Roman" w:eastAsia="標楷體" w:hAnsi="標楷體" w:cs="Times New Roman" w:hint="eastAsia"/>
          <w:color w:val="000000" w:themeColor="text1"/>
          <w:szCs w:val="24"/>
        </w:rPr>
        <w:t>IFRS 12</w:t>
      </w:r>
      <w:r w:rsidRPr="0017494E">
        <w:rPr>
          <w:rFonts w:ascii="Times New Roman" w:eastAsia="標楷體" w:hAnsi="標楷體" w:cs="Times New Roman" w:hint="eastAsia"/>
          <w:color w:val="000000" w:themeColor="text1"/>
          <w:szCs w:val="24"/>
        </w:rPr>
        <w:t>第</w:t>
      </w:r>
      <w:r w:rsidRPr="0017494E">
        <w:rPr>
          <w:rFonts w:ascii="Times New Roman" w:eastAsia="標楷體" w:hAnsi="標楷體" w:cs="Times New Roman" w:hint="eastAsia"/>
          <w:color w:val="000000" w:themeColor="text1"/>
          <w:szCs w:val="24"/>
        </w:rPr>
        <w:t>26</w:t>
      </w:r>
      <w:r w:rsidRPr="0017494E">
        <w:rPr>
          <w:rFonts w:ascii="Times New Roman" w:eastAsia="標楷體" w:hAnsi="標楷體" w:cs="Times New Roman" w:hint="eastAsia"/>
          <w:color w:val="000000" w:themeColor="text1"/>
          <w:szCs w:val="24"/>
        </w:rPr>
        <w:t>段規定，</w:t>
      </w:r>
      <w:r w:rsidRPr="0017494E">
        <w:rPr>
          <w:rFonts w:ascii="標楷體" w:eastAsia="標楷體" w:cs="標楷體" w:hint="eastAsia"/>
          <w:kern w:val="0"/>
          <w:szCs w:val="24"/>
        </w:rPr>
        <w:t>企業應揭露有關其對未納入合併報表之結構型個體之權益</w:t>
      </w:r>
      <w:r>
        <w:rPr>
          <w:rFonts w:ascii="標楷體" w:eastAsia="標楷體" w:cs="標楷體" w:hint="eastAsia"/>
          <w:kern w:val="0"/>
          <w:sz w:val="23"/>
          <w:szCs w:val="23"/>
        </w:rPr>
        <w:t>之量化與質性資訊，包括（但不限於）結構型個體之性質、目的、規模與活動，以及該結構型個體如何籌資。</w:t>
      </w:r>
      <w:proofErr w:type="gramStart"/>
      <w:r w:rsidRPr="00DF0776">
        <w:rPr>
          <w:rFonts w:ascii="Times New Roman" w:eastAsia="標楷體" w:hAnsi="標楷體" w:cs="Times New Roman" w:hint="eastAsia"/>
          <w:szCs w:val="24"/>
        </w:rPr>
        <w:t>本</w:t>
      </w:r>
      <w:r>
        <w:rPr>
          <w:rFonts w:ascii="Times New Roman" w:eastAsia="標楷體" w:hAnsi="標楷體" w:cs="Times New Roman" w:hint="eastAsia"/>
          <w:szCs w:val="24"/>
        </w:rPr>
        <w:t>釋</w:t>
      </w:r>
      <w:r w:rsidRPr="00DF0776">
        <w:rPr>
          <w:rFonts w:ascii="Times New Roman" w:eastAsia="標楷體" w:hAnsi="標楷體" w:cs="Times New Roman" w:hint="eastAsia"/>
          <w:szCs w:val="24"/>
        </w:rPr>
        <w:t>例係</w:t>
      </w:r>
      <w:proofErr w:type="gramEnd"/>
      <w:r w:rsidRPr="00DF0776">
        <w:rPr>
          <w:rFonts w:ascii="Times New Roman" w:eastAsia="標楷體" w:hAnsi="標楷體" w:cs="Times New Roman" w:hint="eastAsia"/>
          <w:szCs w:val="24"/>
        </w:rPr>
        <w:t>以總資產為例</w:t>
      </w:r>
      <w:r>
        <w:rPr>
          <w:rFonts w:ascii="Times New Roman" w:eastAsia="標楷體" w:hAnsi="標楷體" w:cs="Times New Roman" w:hint="eastAsia"/>
          <w:szCs w:val="24"/>
        </w:rPr>
        <w:t>以</w:t>
      </w:r>
      <w:r w:rsidRPr="00DF0776">
        <w:rPr>
          <w:rFonts w:ascii="Times New Roman" w:eastAsia="標楷體" w:hAnsi="標楷體" w:cs="Times New Roman" w:hint="eastAsia"/>
          <w:szCs w:val="24"/>
        </w:rPr>
        <w:t>揭露規模。</w:t>
      </w:r>
    </w:p>
  </w:footnote>
  <w:footnote w:id="3">
    <w:p w:rsidR="00215388" w:rsidRPr="00340212" w:rsidRDefault="00215388" w:rsidP="00DA746C">
      <w:pPr>
        <w:pStyle w:val="ab"/>
        <w:ind w:left="142" w:hangingChars="59" w:hanging="142"/>
        <w:rPr>
          <w:sz w:val="24"/>
          <w:szCs w:val="24"/>
        </w:rPr>
      </w:pPr>
      <w:r w:rsidRPr="00340212">
        <w:rPr>
          <w:rStyle w:val="ad"/>
          <w:sz w:val="24"/>
          <w:szCs w:val="24"/>
        </w:rPr>
        <w:footnoteRef/>
      </w:r>
      <w:r>
        <w:rPr>
          <w:rFonts w:ascii="Times New Roman" w:eastAsia="標楷體" w:hAnsi="標楷體" w:cs="Times New Roman"/>
          <w:color w:val="000000" w:themeColor="text1"/>
          <w:sz w:val="24"/>
          <w:szCs w:val="24"/>
        </w:rPr>
        <w:tab/>
      </w:r>
      <w:r w:rsidRPr="00334FDC">
        <w:rPr>
          <w:rFonts w:ascii="Times New Roman" w:eastAsia="標楷體" w:hAnsi="標楷體" w:cs="Times New Roman" w:hint="eastAsia"/>
          <w:color w:val="000000" w:themeColor="text1"/>
          <w:sz w:val="24"/>
          <w:szCs w:val="24"/>
        </w:rPr>
        <w:t>請自行依個案狀況判斷是否應依</w:t>
      </w:r>
      <w:r w:rsidRPr="00334FDC">
        <w:rPr>
          <w:rFonts w:ascii="Times New Roman" w:eastAsia="標楷體" w:hAnsi="標楷體" w:cs="Times New Roman" w:hint="eastAsia"/>
          <w:color w:val="000000" w:themeColor="text1"/>
          <w:sz w:val="24"/>
          <w:szCs w:val="24"/>
        </w:rPr>
        <w:t>IFRS 12</w:t>
      </w:r>
      <w:r w:rsidRPr="00334FDC">
        <w:rPr>
          <w:rFonts w:ascii="Times New Roman" w:eastAsia="標楷體" w:hAnsi="標楷體" w:cs="Times New Roman" w:hint="eastAsia"/>
          <w:color w:val="000000" w:themeColor="text1"/>
          <w:sz w:val="24"/>
          <w:szCs w:val="24"/>
        </w:rPr>
        <w:t>第</w:t>
      </w:r>
      <w:r w:rsidRPr="00334FDC">
        <w:rPr>
          <w:rFonts w:ascii="Times New Roman" w:eastAsia="標楷體" w:hAnsi="標楷體" w:cs="Times New Roman" w:hint="eastAsia"/>
          <w:color w:val="000000" w:themeColor="text1"/>
          <w:sz w:val="24"/>
          <w:szCs w:val="24"/>
        </w:rPr>
        <w:t>7</w:t>
      </w:r>
      <w:r w:rsidRPr="00334FDC">
        <w:rPr>
          <w:rFonts w:ascii="Times New Roman" w:eastAsia="標楷體" w:hAnsi="標楷體" w:cs="Times New Roman" w:hint="eastAsia"/>
          <w:color w:val="000000" w:themeColor="text1"/>
          <w:sz w:val="24"/>
          <w:szCs w:val="24"/>
        </w:rPr>
        <w:t>至</w:t>
      </w:r>
      <w:r w:rsidRPr="00334FDC">
        <w:rPr>
          <w:rFonts w:ascii="Times New Roman" w:eastAsia="標楷體" w:hAnsi="標楷體" w:cs="Times New Roman" w:hint="eastAsia"/>
          <w:color w:val="000000" w:themeColor="text1"/>
          <w:sz w:val="24"/>
          <w:szCs w:val="24"/>
        </w:rPr>
        <w:t>9</w:t>
      </w:r>
      <w:r w:rsidRPr="00334FDC">
        <w:rPr>
          <w:rFonts w:ascii="Times New Roman" w:eastAsia="標楷體" w:hAnsi="標楷體" w:cs="Times New Roman" w:hint="eastAsia"/>
          <w:color w:val="000000" w:themeColor="text1"/>
          <w:sz w:val="24"/>
          <w:szCs w:val="24"/>
        </w:rPr>
        <w:t>段及</w:t>
      </w:r>
      <w:r w:rsidRPr="00334FDC">
        <w:rPr>
          <w:rFonts w:ascii="Times New Roman" w:eastAsia="標楷體" w:hAnsi="標楷體" w:cs="Times New Roman" w:hint="eastAsia"/>
          <w:color w:val="000000" w:themeColor="text1"/>
          <w:sz w:val="24"/>
          <w:szCs w:val="24"/>
        </w:rPr>
        <w:t>IAS 1</w:t>
      </w:r>
      <w:r w:rsidRPr="00334FDC">
        <w:rPr>
          <w:rFonts w:ascii="Times New Roman" w:eastAsia="標楷體" w:hAnsi="標楷體" w:cs="Times New Roman" w:hint="eastAsia"/>
          <w:color w:val="000000" w:themeColor="text1"/>
          <w:sz w:val="24"/>
          <w:szCs w:val="24"/>
        </w:rPr>
        <w:t>第</w:t>
      </w:r>
      <w:r w:rsidRPr="00334FDC">
        <w:rPr>
          <w:rFonts w:ascii="Times New Roman" w:eastAsia="標楷體" w:hAnsi="標楷體" w:cs="Times New Roman" w:hint="eastAsia"/>
          <w:color w:val="000000" w:themeColor="text1"/>
          <w:sz w:val="24"/>
          <w:szCs w:val="24"/>
        </w:rPr>
        <w:t>122</w:t>
      </w:r>
      <w:r w:rsidRPr="00334FDC">
        <w:rPr>
          <w:rFonts w:ascii="Times New Roman" w:eastAsia="標楷體" w:hAnsi="標楷體" w:cs="Times New Roman" w:hint="eastAsia"/>
          <w:color w:val="000000" w:themeColor="text1"/>
          <w:sz w:val="24"/>
          <w:szCs w:val="24"/>
        </w:rPr>
        <w:t>段規定揭露對另一個體是否具控制所作之重大判斷及假設。</w:t>
      </w:r>
    </w:p>
  </w:footnote>
  <w:footnote w:id="4">
    <w:p w:rsidR="00215388" w:rsidRPr="009C74EF" w:rsidRDefault="00215388" w:rsidP="00DA746C">
      <w:pPr>
        <w:pStyle w:val="ab"/>
        <w:ind w:left="142" w:hangingChars="59" w:hanging="142"/>
        <w:rPr>
          <w:rFonts w:ascii="Times New Roman" w:eastAsia="標楷體" w:hAnsi="Times New Roman" w:cs="Times New Roman"/>
          <w:sz w:val="24"/>
          <w:szCs w:val="24"/>
        </w:rPr>
      </w:pPr>
      <w:r w:rsidRPr="009C74EF">
        <w:rPr>
          <w:rStyle w:val="ad"/>
          <w:sz w:val="24"/>
          <w:szCs w:val="24"/>
        </w:rPr>
        <w:footnoteRef/>
      </w:r>
      <w:r>
        <w:rPr>
          <w:rFonts w:ascii="Times New Roman" w:eastAsia="標楷體" w:hAnsi="標楷體" w:cs="Times New Roman"/>
          <w:color w:val="000000" w:themeColor="text1"/>
          <w:sz w:val="24"/>
          <w:szCs w:val="24"/>
        </w:rPr>
        <w:tab/>
      </w:r>
      <w:proofErr w:type="gramStart"/>
      <w:r>
        <w:rPr>
          <w:rFonts w:ascii="Times New Roman" w:eastAsia="標楷體" w:hAnsi="標楷體" w:cs="Times New Roman" w:hint="eastAsia"/>
          <w:color w:val="000000" w:themeColor="text1"/>
          <w:sz w:val="24"/>
          <w:szCs w:val="24"/>
        </w:rPr>
        <w:t>本釋例係</w:t>
      </w:r>
      <w:proofErr w:type="gramEnd"/>
      <w:r>
        <w:rPr>
          <w:rFonts w:ascii="Times New Roman" w:eastAsia="標楷體" w:hAnsi="標楷體" w:cs="Times New Roman" w:hint="eastAsia"/>
          <w:color w:val="000000" w:themeColor="text1"/>
          <w:sz w:val="24"/>
          <w:szCs w:val="24"/>
        </w:rPr>
        <w:t>以金融業為基金管理人為例。請</w:t>
      </w:r>
      <w:r w:rsidRPr="009C74EF">
        <w:rPr>
          <w:rFonts w:ascii="Times New Roman" w:eastAsia="標楷體" w:hAnsi="標楷體" w:cs="Times New Roman"/>
          <w:color w:val="000000" w:themeColor="text1"/>
          <w:sz w:val="24"/>
          <w:szCs w:val="24"/>
        </w:rPr>
        <w:t>依</w:t>
      </w:r>
      <w:r>
        <w:rPr>
          <w:rFonts w:ascii="Times New Roman" w:eastAsia="標楷體" w:hAnsi="標楷體" w:cs="Times New Roman" w:hint="eastAsia"/>
          <w:color w:val="000000" w:themeColor="text1"/>
          <w:sz w:val="24"/>
          <w:szCs w:val="24"/>
        </w:rPr>
        <w:t>企業之合約</w:t>
      </w:r>
      <w:r w:rsidRPr="009C74EF">
        <w:rPr>
          <w:rFonts w:ascii="Times New Roman" w:eastAsia="標楷體" w:hAnsi="標楷體" w:cs="Times New Roman"/>
          <w:color w:val="000000" w:themeColor="text1"/>
          <w:sz w:val="24"/>
          <w:szCs w:val="24"/>
        </w:rPr>
        <w:t>約定實際判斷並揭露報導個體所享權益</w:t>
      </w:r>
      <w:r>
        <w:rPr>
          <w:rFonts w:ascii="Times New Roman" w:eastAsia="標楷體" w:hAnsi="標楷體" w:cs="Times New Roman" w:hint="eastAsia"/>
          <w:color w:val="000000" w:themeColor="text1"/>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4BA"/>
    <w:multiLevelType w:val="multilevel"/>
    <w:tmpl w:val="C9AAF3D8"/>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
    <w:nsid w:val="0C4E3CB1"/>
    <w:multiLevelType w:val="hybridMultilevel"/>
    <w:tmpl w:val="8A38E8E6"/>
    <w:lvl w:ilvl="0" w:tplc="A7947BF2">
      <w:start w:val="1"/>
      <w:numFmt w:val="lowerLetter"/>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C77533D"/>
    <w:multiLevelType w:val="hybridMultilevel"/>
    <w:tmpl w:val="63308CAC"/>
    <w:lvl w:ilvl="0" w:tplc="007C12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167591B"/>
    <w:multiLevelType w:val="hybridMultilevel"/>
    <w:tmpl w:val="38D8FDFE"/>
    <w:lvl w:ilvl="0" w:tplc="F9E8F5DC">
      <w:start w:val="1"/>
      <w:numFmt w:val="bullet"/>
      <w:lvlText w:val=""/>
      <w:lvlJc w:val="left"/>
      <w:pPr>
        <w:ind w:left="619" w:hanging="480"/>
      </w:pPr>
      <w:rPr>
        <w:rFonts w:ascii="Wingdings" w:hAnsi="Wingdings" w:hint="default"/>
      </w:rPr>
    </w:lvl>
    <w:lvl w:ilvl="1" w:tplc="04090003" w:tentative="1">
      <w:start w:val="1"/>
      <w:numFmt w:val="bullet"/>
      <w:lvlText w:val=""/>
      <w:lvlJc w:val="left"/>
      <w:pPr>
        <w:ind w:left="1099" w:hanging="480"/>
      </w:pPr>
      <w:rPr>
        <w:rFonts w:ascii="Wingdings" w:hAnsi="Wingdings" w:hint="default"/>
      </w:rPr>
    </w:lvl>
    <w:lvl w:ilvl="2" w:tplc="04090005" w:tentative="1">
      <w:start w:val="1"/>
      <w:numFmt w:val="bullet"/>
      <w:lvlText w:val=""/>
      <w:lvlJc w:val="left"/>
      <w:pPr>
        <w:ind w:left="1579" w:hanging="480"/>
      </w:pPr>
      <w:rPr>
        <w:rFonts w:ascii="Wingdings" w:hAnsi="Wingdings" w:hint="default"/>
      </w:rPr>
    </w:lvl>
    <w:lvl w:ilvl="3" w:tplc="04090001" w:tentative="1">
      <w:start w:val="1"/>
      <w:numFmt w:val="bullet"/>
      <w:lvlText w:val=""/>
      <w:lvlJc w:val="left"/>
      <w:pPr>
        <w:ind w:left="2059" w:hanging="480"/>
      </w:pPr>
      <w:rPr>
        <w:rFonts w:ascii="Wingdings" w:hAnsi="Wingdings" w:hint="default"/>
      </w:rPr>
    </w:lvl>
    <w:lvl w:ilvl="4" w:tplc="04090003" w:tentative="1">
      <w:start w:val="1"/>
      <w:numFmt w:val="bullet"/>
      <w:lvlText w:val=""/>
      <w:lvlJc w:val="left"/>
      <w:pPr>
        <w:ind w:left="2539" w:hanging="480"/>
      </w:pPr>
      <w:rPr>
        <w:rFonts w:ascii="Wingdings" w:hAnsi="Wingdings" w:hint="default"/>
      </w:rPr>
    </w:lvl>
    <w:lvl w:ilvl="5" w:tplc="04090005" w:tentative="1">
      <w:start w:val="1"/>
      <w:numFmt w:val="bullet"/>
      <w:lvlText w:val=""/>
      <w:lvlJc w:val="left"/>
      <w:pPr>
        <w:ind w:left="3019" w:hanging="480"/>
      </w:pPr>
      <w:rPr>
        <w:rFonts w:ascii="Wingdings" w:hAnsi="Wingdings" w:hint="default"/>
      </w:rPr>
    </w:lvl>
    <w:lvl w:ilvl="6" w:tplc="04090001" w:tentative="1">
      <w:start w:val="1"/>
      <w:numFmt w:val="bullet"/>
      <w:lvlText w:val=""/>
      <w:lvlJc w:val="left"/>
      <w:pPr>
        <w:ind w:left="3499" w:hanging="480"/>
      </w:pPr>
      <w:rPr>
        <w:rFonts w:ascii="Wingdings" w:hAnsi="Wingdings" w:hint="default"/>
      </w:rPr>
    </w:lvl>
    <w:lvl w:ilvl="7" w:tplc="04090003" w:tentative="1">
      <w:start w:val="1"/>
      <w:numFmt w:val="bullet"/>
      <w:lvlText w:val=""/>
      <w:lvlJc w:val="left"/>
      <w:pPr>
        <w:ind w:left="3979" w:hanging="480"/>
      </w:pPr>
      <w:rPr>
        <w:rFonts w:ascii="Wingdings" w:hAnsi="Wingdings" w:hint="default"/>
      </w:rPr>
    </w:lvl>
    <w:lvl w:ilvl="8" w:tplc="04090005" w:tentative="1">
      <w:start w:val="1"/>
      <w:numFmt w:val="bullet"/>
      <w:lvlText w:val=""/>
      <w:lvlJc w:val="left"/>
      <w:pPr>
        <w:ind w:left="4459" w:hanging="480"/>
      </w:pPr>
      <w:rPr>
        <w:rFonts w:ascii="Wingdings" w:hAnsi="Wingdings" w:hint="default"/>
      </w:rPr>
    </w:lvl>
  </w:abstractNum>
  <w:abstractNum w:abstractNumId="4">
    <w:nsid w:val="13902492"/>
    <w:multiLevelType w:val="multilevel"/>
    <w:tmpl w:val="C9AAF3D8"/>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5">
    <w:nsid w:val="141520F6"/>
    <w:multiLevelType w:val="hybridMultilevel"/>
    <w:tmpl w:val="05F615CE"/>
    <w:lvl w:ilvl="0" w:tplc="6798965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7">
    <w:nsid w:val="17997B5C"/>
    <w:multiLevelType w:val="multilevel"/>
    <w:tmpl w:val="05F615CE"/>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8">
    <w:nsid w:val="18B74BDF"/>
    <w:multiLevelType w:val="hybridMultilevel"/>
    <w:tmpl w:val="DCAC3BF4"/>
    <w:lvl w:ilvl="0" w:tplc="489CEC3C">
      <w:start w:val="1"/>
      <w:numFmt w:val="bullet"/>
      <w:lvlText w:val="•"/>
      <w:lvlJc w:val="left"/>
      <w:pPr>
        <w:tabs>
          <w:tab w:val="num" w:pos="720"/>
        </w:tabs>
        <w:ind w:left="720" w:hanging="360"/>
      </w:pPr>
      <w:rPr>
        <w:rFonts w:ascii="新細明體" w:hAnsi="新細明體" w:hint="default"/>
      </w:rPr>
    </w:lvl>
    <w:lvl w:ilvl="1" w:tplc="5482549C" w:tentative="1">
      <w:start w:val="1"/>
      <w:numFmt w:val="bullet"/>
      <w:lvlText w:val="•"/>
      <w:lvlJc w:val="left"/>
      <w:pPr>
        <w:tabs>
          <w:tab w:val="num" w:pos="1440"/>
        </w:tabs>
        <w:ind w:left="1440" w:hanging="360"/>
      </w:pPr>
      <w:rPr>
        <w:rFonts w:ascii="新細明體" w:hAnsi="新細明體" w:hint="default"/>
      </w:rPr>
    </w:lvl>
    <w:lvl w:ilvl="2" w:tplc="7DDE1D2A" w:tentative="1">
      <w:start w:val="1"/>
      <w:numFmt w:val="bullet"/>
      <w:lvlText w:val="•"/>
      <w:lvlJc w:val="left"/>
      <w:pPr>
        <w:tabs>
          <w:tab w:val="num" w:pos="2160"/>
        </w:tabs>
        <w:ind w:left="2160" w:hanging="360"/>
      </w:pPr>
      <w:rPr>
        <w:rFonts w:ascii="新細明體" w:hAnsi="新細明體" w:hint="default"/>
      </w:rPr>
    </w:lvl>
    <w:lvl w:ilvl="3" w:tplc="3DE292AC" w:tentative="1">
      <w:start w:val="1"/>
      <w:numFmt w:val="bullet"/>
      <w:lvlText w:val="•"/>
      <w:lvlJc w:val="left"/>
      <w:pPr>
        <w:tabs>
          <w:tab w:val="num" w:pos="2880"/>
        </w:tabs>
        <w:ind w:left="2880" w:hanging="360"/>
      </w:pPr>
      <w:rPr>
        <w:rFonts w:ascii="新細明體" w:hAnsi="新細明體" w:hint="default"/>
      </w:rPr>
    </w:lvl>
    <w:lvl w:ilvl="4" w:tplc="7026C5E2" w:tentative="1">
      <w:start w:val="1"/>
      <w:numFmt w:val="bullet"/>
      <w:lvlText w:val="•"/>
      <w:lvlJc w:val="left"/>
      <w:pPr>
        <w:tabs>
          <w:tab w:val="num" w:pos="3600"/>
        </w:tabs>
        <w:ind w:left="3600" w:hanging="360"/>
      </w:pPr>
      <w:rPr>
        <w:rFonts w:ascii="新細明體" w:hAnsi="新細明體" w:hint="default"/>
      </w:rPr>
    </w:lvl>
    <w:lvl w:ilvl="5" w:tplc="094E487A" w:tentative="1">
      <w:start w:val="1"/>
      <w:numFmt w:val="bullet"/>
      <w:lvlText w:val="•"/>
      <w:lvlJc w:val="left"/>
      <w:pPr>
        <w:tabs>
          <w:tab w:val="num" w:pos="4320"/>
        </w:tabs>
        <w:ind w:left="4320" w:hanging="360"/>
      </w:pPr>
      <w:rPr>
        <w:rFonts w:ascii="新細明體" w:hAnsi="新細明體" w:hint="default"/>
      </w:rPr>
    </w:lvl>
    <w:lvl w:ilvl="6" w:tplc="EBF6FA8C" w:tentative="1">
      <w:start w:val="1"/>
      <w:numFmt w:val="bullet"/>
      <w:lvlText w:val="•"/>
      <w:lvlJc w:val="left"/>
      <w:pPr>
        <w:tabs>
          <w:tab w:val="num" w:pos="5040"/>
        </w:tabs>
        <w:ind w:left="5040" w:hanging="360"/>
      </w:pPr>
      <w:rPr>
        <w:rFonts w:ascii="新細明體" w:hAnsi="新細明體" w:hint="default"/>
      </w:rPr>
    </w:lvl>
    <w:lvl w:ilvl="7" w:tplc="69F0981C" w:tentative="1">
      <w:start w:val="1"/>
      <w:numFmt w:val="bullet"/>
      <w:lvlText w:val="•"/>
      <w:lvlJc w:val="left"/>
      <w:pPr>
        <w:tabs>
          <w:tab w:val="num" w:pos="5760"/>
        </w:tabs>
        <w:ind w:left="5760" w:hanging="360"/>
      </w:pPr>
      <w:rPr>
        <w:rFonts w:ascii="新細明體" w:hAnsi="新細明體" w:hint="default"/>
      </w:rPr>
    </w:lvl>
    <w:lvl w:ilvl="8" w:tplc="FC305930" w:tentative="1">
      <w:start w:val="1"/>
      <w:numFmt w:val="bullet"/>
      <w:lvlText w:val="•"/>
      <w:lvlJc w:val="left"/>
      <w:pPr>
        <w:tabs>
          <w:tab w:val="num" w:pos="6480"/>
        </w:tabs>
        <w:ind w:left="6480" w:hanging="360"/>
      </w:pPr>
      <w:rPr>
        <w:rFonts w:ascii="新細明體" w:hAnsi="新細明體" w:hint="default"/>
      </w:rPr>
    </w:lvl>
  </w:abstractNum>
  <w:abstractNum w:abstractNumId="9">
    <w:nsid w:val="29A0208C"/>
    <w:multiLevelType w:val="hybridMultilevel"/>
    <w:tmpl w:val="2AC2A996"/>
    <w:lvl w:ilvl="0" w:tplc="60728D10">
      <w:start w:val="1"/>
      <w:numFmt w:val="lowerLetter"/>
      <w:lvlText w:val="(%1)"/>
      <w:lvlJc w:val="left"/>
      <w:pPr>
        <w:ind w:left="1788" w:hanging="720"/>
      </w:pPr>
      <w:rPr>
        <w:rFonts w:ascii="Times New Roman" w:eastAsia="標楷體" w:hAnsi="Times New Roman" w:cs="Times New Roman" w:hint="default"/>
        <w:sz w:val="32"/>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0">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1">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2">
    <w:nsid w:val="30B96F5A"/>
    <w:multiLevelType w:val="hybridMultilevel"/>
    <w:tmpl w:val="5C6CF94E"/>
    <w:lvl w:ilvl="0" w:tplc="60728D10">
      <w:start w:val="1"/>
      <w:numFmt w:val="lowerLetter"/>
      <w:lvlText w:val="(%1)"/>
      <w:lvlJc w:val="left"/>
      <w:pPr>
        <w:ind w:left="1788" w:hanging="720"/>
      </w:pPr>
      <w:rPr>
        <w:rFonts w:ascii="Times New Roman" w:eastAsia="標楷體" w:hAnsi="Times New Roman" w:cs="Times New Roman" w:hint="default"/>
        <w:sz w:val="32"/>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3">
    <w:nsid w:val="477069C7"/>
    <w:multiLevelType w:val="hybridMultilevel"/>
    <w:tmpl w:val="ED58EFF4"/>
    <w:lvl w:ilvl="0" w:tplc="552007E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F0B137C"/>
    <w:multiLevelType w:val="hybridMultilevel"/>
    <w:tmpl w:val="5CB2AF26"/>
    <w:lvl w:ilvl="0" w:tplc="F9E8F5DC">
      <w:start w:val="1"/>
      <w:numFmt w:val="bullet"/>
      <w:lvlText w:val=""/>
      <w:lvlJc w:val="left"/>
      <w:pPr>
        <w:ind w:left="2178" w:hanging="480"/>
      </w:pPr>
      <w:rPr>
        <w:rFonts w:ascii="Wingdings" w:hAnsi="Wingdings" w:hint="default"/>
      </w:rPr>
    </w:lvl>
    <w:lvl w:ilvl="1" w:tplc="04090003" w:tentative="1">
      <w:start w:val="1"/>
      <w:numFmt w:val="bullet"/>
      <w:lvlText w:val=""/>
      <w:lvlJc w:val="left"/>
      <w:pPr>
        <w:ind w:left="2658" w:hanging="480"/>
      </w:pPr>
      <w:rPr>
        <w:rFonts w:ascii="Wingdings" w:hAnsi="Wingdings" w:hint="default"/>
      </w:rPr>
    </w:lvl>
    <w:lvl w:ilvl="2" w:tplc="04090005" w:tentative="1">
      <w:start w:val="1"/>
      <w:numFmt w:val="bullet"/>
      <w:lvlText w:val=""/>
      <w:lvlJc w:val="left"/>
      <w:pPr>
        <w:ind w:left="3138" w:hanging="480"/>
      </w:pPr>
      <w:rPr>
        <w:rFonts w:ascii="Wingdings" w:hAnsi="Wingdings" w:hint="default"/>
      </w:rPr>
    </w:lvl>
    <w:lvl w:ilvl="3" w:tplc="04090001" w:tentative="1">
      <w:start w:val="1"/>
      <w:numFmt w:val="bullet"/>
      <w:lvlText w:val=""/>
      <w:lvlJc w:val="left"/>
      <w:pPr>
        <w:ind w:left="3618" w:hanging="480"/>
      </w:pPr>
      <w:rPr>
        <w:rFonts w:ascii="Wingdings" w:hAnsi="Wingdings" w:hint="default"/>
      </w:rPr>
    </w:lvl>
    <w:lvl w:ilvl="4" w:tplc="04090003" w:tentative="1">
      <w:start w:val="1"/>
      <w:numFmt w:val="bullet"/>
      <w:lvlText w:val=""/>
      <w:lvlJc w:val="left"/>
      <w:pPr>
        <w:ind w:left="4098" w:hanging="480"/>
      </w:pPr>
      <w:rPr>
        <w:rFonts w:ascii="Wingdings" w:hAnsi="Wingdings" w:hint="default"/>
      </w:rPr>
    </w:lvl>
    <w:lvl w:ilvl="5" w:tplc="04090005" w:tentative="1">
      <w:start w:val="1"/>
      <w:numFmt w:val="bullet"/>
      <w:lvlText w:val=""/>
      <w:lvlJc w:val="left"/>
      <w:pPr>
        <w:ind w:left="4578" w:hanging="480"/>
      </w:pPr>
      <w:rPr>
        <w:rFonts w:ascii="Wingdings" w:hAnsi="Wingdings" w:hint="default"/>
      </w:rPr>
    </w:lvl>
    <w:lvl w:ilvl="6" w:tplc="04090001" w:tentative="1">
      <w:start w:val="1"/>
      <w:numFmt w:val="bullet"/>
      <w:lvlText w:val=""/>
      <w:lvlJc w:val="left"/>
      <w:pPr>
        <w:ind w:left="5058" w:hanging="480"/>
      </w:pPr>
      <w:rPr>
        <w:rFonts w:ascii="Wingdings" w:hAnsi="Wingdings" w:hint="default"/>
      </w:rPr>
    </w:lvl>
    <w:lvl w:ilvl="7" w:tplc="04090003" w:tentative="1">
      <w:start w:val="1"/>
      <w:numFmt w:val="bullet"/>
      <w:lvlText w:val=""/>
      <w:lvlJc w:val="left"/>
      <w:pPr>
        <w:ind w:left="5538" w:hanging="480"/>
      </w:pPr>
      <w:rPr>
        <w:rFonts w:ascii="Wingdings" w:hAnsi="Wingdings" w:hint="default"/>
      </w:rPr>
    </w:lvl>
    <w:lvl w:ilvl="8" w:tplc="04090005" w:tentative="1">
      <w:start w:val="1"/>
      <w:numFmt w:val="bullet"/>
      <w:lvlText w:val=""/>
      <w:lvlJc w:val="left"/>
      <w:pPr>
        <w:ind w:left="6018" w:hanging="480"/>
      </w:pPr>
      <w:rPr>
        <w:rFonts w:ascii="Wingdings" w:hAnsi="Wingdings" w:hint="default"/>
      </w:rPr>
    </w:lvl>
  </w:abstractNum>
  <w:abstractNum w:abstractNumId="15">
    <w:nsid w:val="504646FC"/>
    <w:multiLevelType w:val="hybridMultilevel"/>
    <w:tmpl w:val="FE6E81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07E3E70"/>
    <w:multiLevelType w:val="hybridMultilevel"/>
    <w:tmpl w:val="FBCA246A"/>
    <w:lvl w:ilvl="0" w:tplc="81B2ED08">
      <w:start w:val="1"/>
      <w:numFmt w:val="bullet"/>
      <w:lvlText w:val="•"/>
      <w:lvlJc w:val="left"/>
      <w:pPr>
        <w:tabs>
          <w:tab w:val="num" w:pos="720"/>
        </w:tabs>
        <w:ind w:left="720" w:hanging="360"/>
      </w:pPr>
      <w:rPr>
        <w:rFonts w:ascii="新細明體" w:hAnsi="新細明體" w:hint="default"/>
      </w:rPr>
    </w:lvl>
    <w:lvl w:ilvl="1" w:tplc="0A862650" w:tentative="1">
      <w:start w:val="1"/>
      <w:numFmt w:val="bullet"/>
      <w:lvlText w:val="•"/>
      <w:lvlJc w:val="left"/>
      <w:pPr>
        <w:tabs>
          <w:tab w:val="num" w:pos="1440"/>
        </w:tabs>
        <w:ind w:left="1440" w:hanging="360"/>
      </w:pPr>
      <w:rPr>
        <w:rFonts w:ascii="新細明體" w:hAnsi="新細明體" w:hint="default"/>
      </w:rPr>
    </w:lvl>
    <w:lvl w:ilvl="2" w:tplc="4FEED5A4" w:tentative="1">
      <w:start w:val="1"/>
      <w:numFmt w:val="bullet"/>
      <w:lvlText w:val="•"/>
      <w:lvlJc w:val="left"/>
      <w:pPr>
        <w:tabs>
          <w:tab w:val="num" w:pos="2160"/>
        </w:tabs>
        <w:ind w:left="2160" w:hanging="360"/>
      </w:pPr>
      <w:rPr>
        <w:rFonts w:ascii="新細明體" w:hAnsi="新細明體" w:hint="default"/>
      </w:rPr>
    </w:lvl>
    <w:lvl w:ilvl="3" w:tplc="9F0407BA" w:tentative="1">
      <w:start w:val="1"/>
      <w:numFmt w:val="bullet"/>
      <w:lvlText w:val="•"/>
      <w:lvlJc w:val="left"/>
      <w:pPr>
        <w:tabs>
          <w:tab w:val="num" w:pos="2880"/>
        </w:tabs>
        <w:ind w:left="2880" w:hanging="360"/>
      </w:pPr>
      <w:rPr>
        <w:rFonts w:ascii="新細明體" w:hAnsi="新細明體" w:hint="default"/>
      </w:rPr>
    </w:lvl>
    <w:lvl w:ilvl="4" w:tplc="DE865030" w:tentative="1">
      <w:start w:val="1"/>
      <w:numFmt w:val="bullet"/>
      <w:lvlText w:val="•"/>
      <w:lvlJc w:val="left"/>
      <w:pPr>
        <w:tabs>
          <w:tab w:val="num" w:pos="3600"/>
        </w:tabs>
        <w:ind w:left="3600" w:hanging="360"/>
      </w:pPr>
      <w:rPr>
        <w:rFonts w:ascii="新細明體" w:hAnsi="新細明體" w:hint="default"/>
      </w:rPr>
    </w:lvl>
    <w:lvl w:ilvl="5" w:tplc="BB8EDE16" w:tentative="1">
      <w:start w:val="1"/>
      <w:numFmt w:val="bullet"/>
      <w:lvlText w:val="•"/>
      <w:lvlJc w:val="left"/>
      <w:pPr>
        <w:tabs>
          <w:tab w:val="num" w:pos="4320"/>
        </w:tabs>
        <w:ind w:left="4320" w:hanging="360"/>
      </w:pPr>
      <w:rPr>
        <w:rFonts w:ascii="新細明體" w:hAnsi="新細明體" w:hint="default"/>
      </w:rPr>
    </w:lvl>
    <w:lvl w:ilvl="6" w:tplc="8B90909E" w:tentative="1">
      <w:start w:val="1"/>
      <w:numFmt w:val="bullet"/>
      <w:lvlText w:val="•"/>
      <w:lvlJc w:val="left"/>
      <w:pPr>
        <w:tabs>
          <w:tab w:val="num" w:pos="5040"/>
        </w:tabs>
        <w:ind w:left="5040" w:hanging="360"/>
      </w:pPr>
      <w:rPr>
        <w:rFonts w:ascii="新細明體" w:hAnsi="新細明體" w:hint="default"/>
      </w:rPr>
    </w:lvl>
    <w:lvl w:ilvl="7" w:tplc="8AE03082" w:tentative="1">
      <w:start w:val="1"/>
      <w:numFmt w:val="bullet"/>
      <w:lvlText w:val="•"/>
      <w:lvlJc w:val="left"/>
      <w:pPr>
        <w:tabs>
          <w:tab w:val="num" w:pos="5760"/>
        </w:tabs>
        <w:ind w:left="5760" w:hanging="360"/>
      </w:pPr>
      <w:rPr>
        <w:rFonts w:ascii="新細明體" w:hAnsi="新細明體" w:hint="default"/>
      </w:rPr>
    </w:lvl>
    <w:lvl w:ilvl="8" w:tplc="765AC68C" w:tentative="1">
      <w:start w:val="1"/>
      <w:numFmt w:val="bullet"/>
      <w:lvlText w:val="•"/>
      <w:lvlJc w:val="left"/>
      <w:pPr>
        <w:tabs>
          <w:tab w:val="num" w:pos="6480"/>
        </w:tabs>
        <w:ind w:left="6480" w:hanging="360"/>
      </w:pPr>
      <w:rPr>
        <w:rFonts w:ascii="新細明體" w:hAnsi="新細明體" w:hint="default"/>
      </w:rPr>
    </w:lvl>
  </w:abstractNum>
  <w:abstractNum w:abstractNumId="17">
    <w:nsid w:val="5454594A"/>
    <w:multiLevelType w:val="hybridMultilevel"/>
    <w:tmpl w:val="C9AAF3D8"/>
    <w:lvl w:ilvl="0" w:tplc="55CE3CF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nsid w:val="5FCE2155"/>
    <w:multiLevelType w:val="hybridMultilevel"/>
    <w:tmpl w:val="C87830FE"/>
    <w:lvl w:ilvl="0" w:tplc="E26E59FE">
      <w:start w:val="1"/>
      <w:numFmt w:val="bullet"/>
      <w:lvlText w:val="•"/>
      <w:lvlJc w:val="left"/>
      <w:pPr>
        <w:tabs>
          <w:tab w:val="num" w:pos="720"/>
        </w:tabs>
        <w:ind w:left="720" w:hanging="360"/>
      </w:pPr>
      <w:rPr>
        <w:rFonts w:ascii="新細明體" w:hAnsi="新細明體" w:hint="default"/>
      </w:rPr>
    </w:lvl>
    <w:lvl w:ilvl="1" w:tplc="CDCE0684" w:tentative="1">
      <w:start w:val="1"/>
      <w:numFmt w:val="bullet"/>
      <w:lvlText w:val="•"/>
      <w:lvlJc w:val="left"/>
      <w:pPr>
        <w:tabs>
          <w:tab w:val="num" w:pos="1440"/>
        </w:tabs>
        <w:ind w:left="1440" w:hanging="360"/>
      </w:pPr>
      <w:rPr>
        <w:rFonts w:ascii="新細明體" w:hAnsi="新細明體" w:hint="default"/>
      </w:rPr>
    </w:lvl>
    <w:lvl w:ilvl="2" w:tplc="46F45134" w:tentative="1">
      <w:start w:val="1"/>
      <w:numFmt w:val="bullet"/>
      <w:lvlText w:val="•"/>
      <w:lvlJc w:val="left"/>
      <w:pPr>
        <w:tabs>
          <w:tab w:val="num" w:pos="2160"/>
        </w:tabs>
        <w:ind w:left="2160" w:hanging="360"/>
      </w:pPr>
      <w:rPr>
        <w:rFonts w:ascii="新細明體" w:hAnsi="新細明體" w:hint="default"/>
      </w:rPr>
    </w:lvl>
    <w:lvl w:ilvl="3" w:tplc="B0C893B0" w:tentative="1">
      <w:start w:val="1"/>
      <w:numFmt w:val="bullet"/>
      <w:lvlText w:val="•"/>
      <w:lvlJc w:val="left"/>
      <w:pPr>
        <w:tabs>
          <w:tab w:val="num" w:pos="2880"/>
        </w:tabs>
        <w:ind w:left="2880" w:hanging="360"/>
      </w:pPr>
      <w:rPr>
        <w:rFonts w:ascii="新細明體" w:hAnsi="新細明體" w:hint="default"/>
      </w:rPr>
    </w:lvl>
    <w:lvl w:ilvl="4" w:tplc="6290CC84" w:tentative="1">
      <w:start w:val="1"/>
      <w:numFmt w:val="bullet"/>
      <w:lvlText w:val="•"/>
      <w:lvlJc w:val="left"/>
      <w:pPr>
        <w:tabs>
          <w:tab w:val="num" w:pos="3600"/>
        </w:tabs>
        <w:ind w:left="3600" w:hanging="360"/>
      </w:pPr>
      <w:rPr>
        <w:rFonts w:ascii="新細明體" w:hAnsi="新細明體" w:hint="default"/>
      </w:rPr>
    </w:lvl>
    <w:lvl w:ilvl="5" w:tplc="93CA1B02" w:tentative="1">
      <w:start w:val="1"/>
      <w:numFmt w:val="bullet"/>
      <w:lvlText w:val="•"/>
      <w:lvlJc w:val="left"/>
      <w:pPr>
        <w:tabs>
          <w:tab w:val="num" w:pos="4320"/>
        </w:tabs>
        <w:ind w:left="4320" w:hanging="360"/>
      </w:pPr>
      <w:rPr>
        <w:rFonts w:ascii="新細明體" w:hAnsi="新細明體" w:hint="default"/>
      </w:rPr>
    </w:lvl>
    <w:lvl w:ilvl="6" w:tplc="6590CF3E" w:tentative="1">
      <w:start w:val="1"/>
      <w:numFmt w:val="bullet"/>
      <w:lvlText w:val="•"/>
      <w:lvlJc w:val="left"/>
      <w:pPr>
        <w:tabs>
          <w:tab w:val="num" w:pos="5040"/>
        </w:tabs>
        <w:ind w:left="5040" w:hanging="360"/>
      </w:pPr>
      <w:rPr>
        <w:rFonts w:ascii="新細明體" w:hAnsi="新細明體" w:hint="default"/>
      </w:rPr>
    </w:lvl>
    <w:lvl w:ilvl="7" w:tplc="FF68CD1C" w:tentative="1">
      <w:start w:val="1"/>
      <w:numFmt w:val="bullet"/>
      <w:lvlText w:val="•"/>
      <w:lvlJc w:val="left"/>
      <w:pPr>
        <w:tabs>
          <w:tab w:val="num" w:pos="5760"/>
        </w:tabs>
        <w:ind w:left="5760" w:hanging="360"/>
      </w:pPr>
      <w:rPr>
        <w:rFonts w:ascii="新細明體" w:hAnsi="新細明體" w:hint="default"/>
      </w:rPr>
    </w:lvl>
    <w:lvl w:ilvl="8" w:tplc="3E60352A" w:tentative="1">
      <w:start w:val="1"/>
      <w:numFmt w:val="bullet"/>
      <w:lvlText w:val="•"/>
      <w:lvlJc w:val="left"/>
      <w:pPr>
        <w:tabs>
          <w:tab w:val="num" w:pos="6480"/>
        </w:tabs>
        <w:ind w:left="6480" w:hanging="360"/>
      </w:pPr>
      <w:rPr>
        <w:rFonts w:ascii="新細明體" w:hAnsi="新細明體" w:hint="default"/>
      </w:rPr>
    </w:lvl>
  </w:abstractNum>
  <w:abstractNum w:abstractNumId="19">
    <w:nsid w:val="63851EBA"/>
    <w:multiLevelType w:val="hybridMultilevel"/>
    <w:tmpl w:val="F376A2AE"/>
    <w:lvl w:ilvl="0" w:tplc="31DC35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3B157F0"/>
    <w:multiLevelType w:val="hybridMultilevel"/>
    <w:tmpl w:val="6BBA3012"/>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66547709"/>
    <w:multiLevelType w:val="hybridMultilevel"/>
    <w:tmpl w:val="DB329400"/>
    <w:lvl w:ilvl="0" w:tplc="33EA1164">
      <w:start w:val="1"/>
      <w:numFmt w:val="bullet"/>
      <w:lvlText w:val="•"/>
      <w:lvlJc w:val="left"/>
      <w:pPr>
        <w:tabs>
          <w:tab w:val="num" w:pos="720"/>
        </w:tabs>
        <w:ind w:left="720" w:hanging="360"/>
      </w:pPr>
      <w:rPr>
        <w:rFonts w:ascii="新細明體" w:hAnsi="新細明體" w:hint="default"/>
      </w:rPr>
    </w:lvl>
    <w:lvl w:ilvl="1" w:tplc="7160F77A" w:tentative="1">
      <w:start w:val="1"/>
      <w:numFmt w:val="bullet"/>
      <w:lvlText w:val="•"/>
      <w:lvlJc w:val="left"/>
      <w:pPr>
        <w:tabs>
          <w:tab w:val="num" w:pos="1440"/>
        </w:tabs>
        <w:ind w:left="1440" w:hanging="360"/>
      </w:pPr>
      <w:rPr>
        <w:rFonts w:ascii="新細明體" w:hAnsi="新細明體" w:hint="default"/>
      </w:rPr>
    </w:lvl>
    <w:lvl w:ilvl="2" w:tplc="A6360B86" w:tentative="1">
      <w:start w:val="1"/>
      <w:numFmt w:val="bullet"/>
      <w:lvlText w:val="•"/>
      <w:lvlJc w:val="left"/>
      <w:pPr>
        <w:tabs>
          <w:tab w:val="num" w:pos="2160"/>
        </w:tabs>
        <w:ind w:left="2160" w:hanging="360"/>
      </w:pPr>
      <w:rPr>
        <w:rFonts w:ascii="新細明體" w:hAnsi="新細明體" w:hint="default"/>
      </w:rPr>
    </w:lvl>
    <w:lvl w:ilvl="3" w:tplc="78D2ACDA" w:tentative="1">
      <w:start w:val="1"/>
      <w:numFmt w:val="bullet"/>
      <w:lvlText w:val="•"/>
      <w:lvlJc w:val="left"/>
      <w:pPr>
        <w:tabs>
          <w:tab w:val="num" w:pos="2880"/>
        </w:tabs>
        <w:ind w:left="2880" w:hanging="360"/>
      </w:pPr>
      <w:rPr>
        <w:rFonts w:ascii="新細明體" w:hAnsi="新細明體" w:hint="default"/>
      </w:rPr>
    </w:lvl>
    <w:lvl w:ilvl="4" w:tplc="BA82A9EC" w:tentative="1">
      <w:start w:val="1"/>
      <w:numFmt w:val="bullet"/>
      <w:lvlText w:val="•"/>
      <w:lvlJc w:val="left"/>
      <w:pPr>
        <w:tabs>
          <w:tab w:val="num" w:pos="3600"/>
        </w:tabs>
        <w:ind w:left="3600" w:hanging="360"/>
      </w:pPr>
      <w:rPr>
        <w:rFonts w:ascii="新細明體" w:hAnsi="新細明體" w:hint="default"/>
      </w:rPr>
    </w:lvl>
    <w:lvl w:ilvl="5" w:tplc="5EDA314C" w:tentative="1">
      <w:start w:val="1"/>
      <w:numFmt w:val="bullet"/>
      <w:lvlText w:val="•"/>
      <w:lvlJc w:val="left"/>
      <w:pPr>
        <w:tabs>
          <w:tab w:val="num" w:pos="4320"/>
        </w:tabs>
        <w:ind w:left="4320" w:hanging="360"/>
      </w:pPr>
      <w:rPr>
        <w:rFonts w:ascii="新細明體" w:hAnsi="新細明體" w:hint="default"/>
      </w:rPr>
    </w:lvl>
    <w:lvl w:ilvl="6" w:tplc="79983E0E" w:tentative="1">
      <w:start w:val="1"/>
      <w:numFmt w:val="bullet"/>
      <w:lvlText w:val="•"/>
      <w:lvlJc w:val="left"/>
      <w:pPr>
        <w:tabs>
          <w:tab w:val="num" w:pos="5040"/>
        </w:tabs>
        <w:ind w:left="5040" w:hanging="360"/>
      </w:pPr>
      <w:rPr>
        <w:rFonts w:ascii="新細明體" w:hAnsi="新細明體" w:hint="default"/>
      </w:rPr>
    </w:lvl>
    <w:lvl w:ilvl="7" w:tplc="FFA4D4F2" w:tentative="1">
      <w:start w:val="1"/>
      <w:numFmt w:val="bullet"/>
      <w:lvlText w:val="•"/>
      <w:lvlJc w:val="left"/>
      <w:pPr>
        <w:tabs>
          <w:tab w:val="num" w:pos="5760"/>
        </w:tabs>
        <w:ind w:left="5760" w:hanging="360"/>
      </w:pPr>
      <w:rPr>
        <w:rFonts w:ascii="新細明體" w:hAnsi="新細明體" w:hint="default"/>
      </w:rPr>
    </w:lvl>
    <w:lvl w:ilvl="8" w:tplc="E4540E2C" w:tentative="1">
      <w:start w:val="1"/>
      <w:numFmt w:val="bullet"/>
      <w:lvlText w:val="•"/>
      <w:lvlJc w:val="left"/>
      <w:pPr>
        <w:tabs>
          <w:tab w:val="num" w:pos="6480"/>
        </w:tabs>
        <w:ind w:left="6480" w:hanging="360"/>
      </w:pPr>
      <w:rPr>
        <w:rFonts w:ascii="新細明體" w:hAnsi="新細明體" w:hint="default"/>
      </w:rPr>
    </w:lvl>
  </w:abstractNum>
  <w:abstractNum w:abstractNumId="22">
    <w:nsid w:val="69DC665F"/>
    <w:multiLevelType w:val="hybridMultilevel"/>
    <w:tmpl w:val="A6DA92C2"/>
    <w:lvl w:ilvl="0" w:tplc="B80630DA">
      <w:start w:val="1"/>
      <w:numFmt w:val="decimal"/>
      <w:lvlText w:val="%1."/>
      <w:lvlJc w:val="left"/>
      <w:pPr>
        <w:ind w:left="1099" w:hanging="390"/>
      </w:pPr>
      <w:rPr>
        <w:rFonts w:ascii="Times New Roman" w:hAnsi="Times New Roman" w:cs="Times New Roman"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6AC24F96"/>
    <w:multiLevelType w:val="hybridMultilevel"/>
    <w:tmpl w:val="D2882FEA"/>
    <w:lvl w:ilvl="0" w:tplc="31DC35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73758FB"/>
    <w:multiLevelType w:val="hybridMultilevel"/>
    <w:tmpl w:val="A756FC00"/>
    <w:lvl w:ilvl="0" w:tplc="31DC358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9FD4417"/>
    <w:multiLevelType w:val="hybridMultilevel"/>
    <w:tmpl w:val="B9DEF5AC"/>
    <w:lvl w:ilvl="0" w:tplc="DDD01844">
      <w:start w:val="1"/>
      <w:numFmt w:val="bullet"/>
      <w:lvlText w:val=""/>
      <w:lvlJc w:val="left"/>
      <w:pPr>
        <w:tabs>
          <w:tab w:val="num" w:pos="1780"/>
        </w:tabs>
        <w:ind w:left="1780" w:hanging="340"/>
      </w:pPr>
      <w:rPr>
        <w:rFonts w:ascii="Wingdings" w:hAnsi="Wingdings" w:hint="default"/>
        <w:color w:val="auto"/>
        <w:sz w:val="22"/>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num w:numId="1">
    <w:abstractNumId w:val="10"/>
  </w:num>
  <w:num w:numId="2">
    <w:abstractNumId w:val="11"/>
  </w:num>
  <w:num w:numId="3">
    <w:abstractNumId w:val="6"/>
  </w:num>
  <w:num w:numId="4">
    <w:abstractNumId w:val="1"/>
  </w:num>
  <w:num w:numId="5">
    <w:abstractNumId w:val="15"/>
  </w:num>
  <w:num w:numId="6">
    <w:abstractNumId w:val="17"/>
  </w:num>
  <w:num w:numId="7">
    <w:abstractNumId w:val="2"/>
  </w:num>
  <w:num w:numId="8">
    <w:abstractNumId w:val="0"/>
  </w:num>
  <w:num w:numId="9">
    <w:abstractNumId w:val="5"/>
  </w:num>
  <w:num w:numId="10">
    <w:abstractNumId w:val="16"/>
  </w:num>
  <w:num w:numId="11">
    <w:abstractNumId w:val="8"/>
  </w:num>
  <w:num w:numId="12">
    <w:abstractNumId w:val="18"/>
  </w:num>
  <w:num w:numId="13">
    <w:abstractNumId w:val="21"/>
  </w:num>
  <w:num w:numId="14">
    <w:abstractNumId w:val="25"/>
  </w:num>
  <w:num w:numId="15">
    <w:abstractNumId w:val="20"/>
  </w:num>
  <w:num w:numId="16">
    <w:abstractNumId w:val="4"/>
  </w:num>
  <w:num w:numId="17">
    <w:abstractNumId w:val="7"/>
  </w:num>
  <w:num w:numId="18">
    <w:abstractNumId w:val="13"/>
  </w:num>
  <w:num w:numId="19">
    <w:abstractNumId w:val="3"/>
  </w:num>
  <w:num w:numId="20">
    <w:abstractNumId w:val="12"/>
  </w:num>
  <w:num w:numId="21">
    <w:abstractNumId w:val="9"/>
  </w:num>
  <w:num w:numId="22">
    <w:abstractNumId w:val="22"/>
  </w:num>
  <w:num w:numId="23">
    <w:abstractNumId w:val="24"/>
  </w:num>
  <w:num w:numId="24">
    <w:abstractNumId w:val="14"/>
  </w:num>
  <w:num w:numId="25">
    <w:abstractNumId w:val="2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3"/>
    <w:rsid w:val="00011C0B"/>
    <w:rsid w:val="00015012"/>
    <w:rsid w:val="00020718"/>
    <w:rsid w:val="0004270B"/>
    <w:rsid w:val="0004572D"/>
    <w:rsid w:val="00046887"/>
    <w:rsid w:val="0004691F"/>
    <w:rsid w:val="00063B2F"/>
    <w:rsid w:val="000668B7"/>
    <w:rsid w:val="000676F1"/>
    <w:rsid w:val="00070FDE"/>
    <w:rsid w:val="0007459D"/>
    <w:rsid w:val="000763AB"/>
    <w:rsid w:val="00097206"/>
    <w:rsid w:val="000B046A"/>
    <w:rsid w:val="000C19E8"/>
    <w:rsid w:val="000C67AE"/>
    <w:rsid w:val="00106A46"/>
    <w:rsid w:val="0011764C"/>
    <w:rsid w:val="00133D6E"/>
    <w:rsid w:val="0015259C"/>
    <w:rsid w:val="001528D7"/>
    <w:rsid w:val="00171B64"/>
    <w:rsid w:val="0017494E"/>
    <w:rsid w:val="001C2B21"/>
    <w:rsid w:val="001D0E54"/>
    <w:rsid w:val="001D46D2"/>
    <w:rsid w:val="001E73F9"/>
    <w:rsid w:val="001F5E0E"/>
    <w:rsid w:val="00203622"/>
    <w:rsid w:val="002141F9"/>
    <w:rsid w:val="00215388"/>
    <w:rsid w:val="00217323"/>
    <w:rsid w:val="00220698"/>
    <w:rsid w:val="00225B84"/>
    <w:rsid w:val="00227547"/>
    <w:rsid w:val="002379DD"/>
    <w:rsid w:val="0024408E"/>
    <w:rsid w:val="00254875"/>
    <w:rsid w:val="0025664C"/>
    <w:rsid w:val="002574EC"/>
    <w:rsid w:val="002747F6"/>
    <w:rsid w:val="00274E40"/>
    <w:rsid w:val="002750FC"/>
    <w:rsid w:val="0027601F"/>
    <w:rsid w:val="00276057"/>
    <w:rsid w:val="00292367"/>
    <w:rsid w:val="00292E9A"/>
    <w:rsid w:val="002A44C1"/>
    <w:rsid w:val="002B1404"/>
    <w:rsid w:val="002D0D7B"/>
    <w:rsid w:val="002F10EF"/>
    <w:rsid w:val="00313EAB"/>
    <w:rsid w:val="00315981"/>
    <w:rsid w:val="003160FC"/>
    <w:rsid w:val="0031721D"/>
    <w:rsid w:val="00332753"/>
    <w:rsid w:val="00334FDC"/>
    <w:rsid w:val="00340212"/>
    <w:rsid w:val="00340870"/>
    <w:rsid w:val="003603DF"/>
    <w:rsid w:val="00371E3B"/>
    <w:rsid w:val="003873C4"/>
    <w:rsid w:val="00397426"/>
    <w:rsid w:val="003A3B93"/>
    <w:rsid w:val="003B1BA1"/>
    <w:rsid w:val="003C0156"/>
    <w:rsid w:val="003F2104"/>
    <w:rsid w:val="003F377E"/>
    <w:rsid w:val="003F703E"/>
    <w:rsid w:val="00406490"/>
    <w:rsid w:val="00410618"/>
    <w:rsid w:val="00424647"/>
    <w:rsid w:val="00433DCB"/>
    <w:rsid w:val="00450E5B"/>
    <w:rsid w:val="00452B6C"/>
    <w:rsid w:val="0045506C"/>
    <w:rsid w:val="00460011"/>
    <w:rsid w:val="00475C3D"/>
    <w:rsid w:val="00492AEE"/>
    <w:rsid w:val="004C7B7B"/>
    <w:rsid w:val="004E6CC0"/>
    <w:rsid w:val="004E7C41"/>
    <w:rsid w:val="004F5ADE"/>
    <w:rsid w:val="00511643"/>
    <w:rsid w:val="00511AFD"/>
    <w:rsid w:val="00530619"/>
    <w:rsid w:val="00543626"/>
    <w:rsid w:val="00545D27"/>
    <w:rsid w:val="005536F5"/>
    <w:rsid w:val="005610D6"/>
    <w:rsid w:val="00565D71"/>
    <w:rsid w:val="005862B5"/>
    <w:rsid w:val="005B0A34"/>
    <w:rsid w:val="005C2763"/>
    <w:rsid w:val="005E42F1"/>
    <w:rsid w:val="00600ED3"/>
    <w:rsid w:val="006049D2"/>
    <w:rsid w:val="0060627C"/>
    <w:rsid w:val="006074B9"/>
    <w:rsid w:val="00626FC6"/>
    <w:rsid w:val="00636487"/>
    <w:rsid w:val="006660CF"/>
    <w:rsid w:val="00690213"/>
    <w:rsid w:val="006B6AEA"/>
    <w:rsid w:val="006C6B7C"/>
    <w:rsid w:val="006E767F"/>
    <w:rsid w:val="00702EBA"/>
    <w:rsid w:val="007033BD"/>
    <w:rsid w:val="00710065"/>
    <w:rsid w:val="007159C9"/>
    <w:rsid w:val="00735933"/>
    <w:rsid w:val="0074617E"/>
    <w:rsid w:val="00746DC0"/>
    <w:rsid w:val="00753CAE"/>
    <w:rsid w:val="00770461"/>
    <w:rsid w:val="007730E8"/>
    <w:rsid w:val="0078333A"/>
    <w:rsid w:val="007944B4"/>
    <w:rsid w:val="007961A0"/>
    <w:rsid w:val="007A1BD1"/>
    <w:rsid w:val="007A6394"/>
    <w:rsid w:val="007D6E9E"/>
    <w:rsid w:val="007F1EB5"/>
    <w:rsid w:val="008169DC"/>
    <w:rsid w:val="0082189E"/>
    <w:rsid w:val="00826B0D"/>
    <w:rsid w:val="00832867"/>
    <w:rsid w:val="0083319A"/>
    <w:rsid w:val="00833F4E"/>
    <w:rsid w:val="0083717F"/>
    <w:rsid w:val="00853DC3"/>
    <w:rsid w:val="00872DC4"/>
    <w:rsid w:val="008B18FE"/>
    <w:rsid w:val="008B47A8"/>
    <w:rsid w:val="008C6A4A"/>
    <w:rsid w:val="008E1EF0"/>
    <w:rsid w:val="008F4277"/>
    <w:rsid w:val="008F4EFD"/>
    <w:rsid w:val="0093250D"/>
    <w:rsid w:val="009522DB"/>
    <w:rsid w:val="009607F6"/>
    <w:rsid w:val="00962B29"/>
    <w:rsid w:val="00965C99"/>
    <w:rsid w:val="00972386"/>
    <w:rsid w:val="00980141"/>
    <w:rsid w:val="0098723A"/>
    <w:rsid w:val="009A5FB8"/>
    <w:rsid w:val="009B4106"/>
    <w:rsid w:val="009C56CE"/>
    <w:rsid w:val="009C74EF"/>
    <w:rsid w:val="009C7A58"/>
    <w:rsid w:val="009D42EC"/>
    <w:rsid w:val="009D6F1A"/>
    <w:rsid w:val="009F1051"/>
    <w:rsid w:val="00A04032"/>
    <w:rsid w:val="00A06531"/>
    <w:rsid w:val="00A275CA"/>
    <w:rsid w:val="00A41277"/>
    <w:rsid w:val="00A51154"/>
    <w:rsid w:val="00A52462"/>
    <w:rsid w:val="00A754E8"/>
    <w:rsid w:val="00A8222C"/>
    <w:rsid w:val="00AA6078"/>
    <w:rsid w:val="00AB242A"/>
    <w:rsid w:val="00AC23D4"/>
    <w:rsid w:val="00AD36B5"/>
    <w:rsid w:val="00AE098E"/>
    <w:rsid w:val="00AF1586"/>
    <w:rsid w:val="00B17913"/>
    <w:rsid w:val="00B244C6"/>
    <w:rsid w:val="00B252D0"/>
    <w:rsid w:val="00B2619F"/>
    <w:rsid w:val="00B35B87"/>
    <w:rsid w:val="00B521D3"/>
    <w:rsid w:val="00B53BF3"/>
    <w:rsid w:val="00B62F43"/>
    <w:rsid w:val="00B67624"/>
    <w:rsid w:val="00B7626A"/>
    <w:rsid w:val="00BA16B2"/>
    <w:rsid w:val="00BC0DD5"/>
    <w:rsid w:val="00BD2CF2"/>
    <w:rsid w:val="00BE3F12"/>
    <w:rsid w:val="00C06B70"/>
    <w:rsid w:val="00C15E0A"/>
    <w:rsid w:val="00C16F29"/>
    <w:rsid w:val="00C33BF5"/>
    <w:rsid w:val="00C36A1F"/>
    <w:rsid w:val="00C44F37"/>
    <w:rsid w:val="00C453C6"/>
    <w:rsid w:val="00C51BA5"/>
    <w:rsid w:val="00C947F8"/>
    <w:rsid w:val="00C96DC1"/>
    <w:rsid w:val="00CA0792"/>
    <w:rsid w:val="00CA09C1"/>
    <w:rsid w:val="00CA54C0"/>
    <w:rsid w:val="00CA62B0"/>
    <w:rsid w:val="00CB7F63"/>
    <w:rsid w:val="00CC4683"/>
    <w:rsid w:val="00CD4FE7"/>
    <w:rsid w:val="00CF33F8"/>
    <w:rsid w:val="00CF4FCE"/>
    <w:rsid w:val="00D22845"/>
    <w:rsid w:val="00D541E4"/>
    <w:rsid w:val="00D5596E"/>
    <w:rsid w:val="00D706BB"/>
    <w:rsid w:val="00D81F40"/>
    <w:rsid w:val="00DA746C"/>
    <w:rsid w:val="00DB0052"/>
    <w:rsid w:val="00DC38C7"/>
    <w:rsid w:val="00DD7B83"/>
    <w:rsid w:val="00DF0776"/>
    <w:rsid w:val="00E35085"/>
    <w:rsid w:val="00E50BE5"/>
    <w:rsid w:val="00E67A35"/>
    <w:rsid w:val="00E820B7"/>
    <w:rsid w:val="00E84136"/>
    <w:rsid w:val="00E91C6E"/>
    <w:rsid w:val="00E95E2D"/>
    <w:rsid w:val="00EA2915"/>
    <w:rsid w:val="00EB37AA"/>
    <w:rsid w:val="00EB3F09"/>
    <w:rsid w:val="00EB54E4"/>
    <w:rsid w:val="00EB7517"/>
    <w:rsid w:val="00EC1B68"/>
    <w:rsid w:val="00EC32B9"/>
    <w:rsid w:val="00EF2451"/>
    <w:rsid w:val="00F03DEC"/>
    <w:rsid w:val="00F17479"/>
    <w:rsid w:val="00F37464"/>
    <w:rsid w:val="00F432F3"/>
    <w:rsid w:val="00F5582E"/>
    <w:rsid w:val="00F80FE1"/>
    <w:rsid w:val="00F8538A"/>
    <w:rsid w:val="00F92224"/>
    <w:rsid w:val="00FB1C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6" type="connector" idref="#_x0000_s1139"/>
        <o:r id="V:Rule7" type="connector" idref="#_x0000_s1135"/>
        <o:r id="V:Rule8" type="connector" idref="#_x0000_s1137"/>
        <o:r id="V:Rule9" type="connector" idref="#_x0000_s1138"/>
        <o:r id="V:Rule10"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semiHidden/>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Hyperlink"/>
    <w:basedOn w:val="a0"/>
    <w:uiPriority w:val="99"/>
    <w:unhideWhenUsed/>
    <w:rsid w:val="002F10EF"/>
    <w:rPr>
      <w:color w:val="0000FF"/>
      <w:u w:val="single"/>
    </w:rPr>
  </w:style>
  <w:style w:type="paragraph" w:styleId="ab">
    <w:name w:val="footnote text"/>
    <w:basedOn w:val="a"/>
    <w:link w:val="ac"/>
    <w:uiPriority w:val="99"/>
    <w:semiHidden/>
    <w:unhideWhenUsed/>
    <w:rsid w:val="002F10EF"/>
    <w:pPr>
      <w:snapToGrid w:val="0"/>
    </w:pPr>
    <w:rPr>
      <w:sz w:val="20"/>
      <w:szCs w:val="20"/>
    </w:rPr>
  </w:style>
  <w:style w:type="character" w:customStyle="1" w:styleId="ac">
    <w:name w:val="註腳文字 字元"/>
    <w:basedOn w:val="a0"/>
    <w:link w:val="ab"/>
    <w:uiPriority w:val="99"/>
    <w:semiHidden/>
    <w:rsid w:val="002F10EF"/>
    <w:rPr>
      <w:sz w:val="20"/>
      <w:szCs w:val="20"/>
    </w:rPr>
  </w:style>
  <w:style w:type="character" w:styleId="ad">
    <w:name w:val="footnote reference"/>
    <w:basedOn w:val="a0"/>
    <w:uiPriority w:val="99"/>
    <w:semiHidden/>
    <w:unhideWhenUsed/>
    <w:rsid w:val="002F10EF"/>
    <w:rPr>
      <w:vertAlign w:val="superscript"/>
    </w:rPr>
  </w:style>
  <w:style w:type="paragraph" w:styleId="ae">
    <w:name w:val="Note Heading"/>
    <w:basedOn w:val="a"/>
    <w:next w:val="a"/>
    <w:link w:val="af"/>
    <w:uiPriority w:val="99"/>
    <w:unhideWhenUsed/>
    <w:rsid w:val="008C6A4A"/>
    <w:pPr>
      <w:jc w:val="center"/>
    </w:pPr>
    <w:rPr>
      <w:rFonts w:ascii="標楷體" w:eastAsia="標楷體" w:hAnsi="標楷體"/>
      <w:sz w:val="32"/>
      <w:szCs w:val="32"/>
    </w:rPr>
  </w:style>
  <w:style w:type="character" w:customStyle="1" w:styleId="af">
    <w:name w:val="註釋標題 字元"/>
    <w:basedOn w:val="a0"/>
    <w:link w:val="ae"/>
    <w:uiPriority w:val="99"/>
    <w:rsid w:val="008C6A4A"/>
    <w:rPr>
      <w:rFonts w:ascii="標楷體" w:eastAsia="標楷體" w:hAnsi="標楷體"/>
      <w:sz w:val="32"/>
      <w:szCs w:val="32"/>
    </w:rPr>
  </w:style>
  <w:style w:type="paragraph" w:styleId="af0">
    <w:name w:val="Closing"/>
    <w:basedOn w:val="a"/>
    <w:link w:val="af1"/>
    <w:uiPriority w:val="99"/>
    <w:unhideWhenUsed/>
    <w:rsid w:val="008C6A4A"/>
    <w:pPr>
      <w:ind w:leftChars="1800" w:left="100"/>
    </w:pPr>
    <w:rPr>
      <w:rFonts w:ascii="標楷體" w:eastAsia="標楷體" w:hAnsi="標楷體"/>
      <w:sz w:val="32"/>
      <w:szCs w:val="32"/>
    </w:rPr>
  </w:style>
  <w:style w:type="character" w:customStyle="1" w:styleId="af1">
    <w:name w:val="結語 字元"/>
    <w:basedOn w:val="a0"/>
    <w:link w:val="af0"/>
    <w:uiPriority w:val="99"/>
    <w:rsid w:val="008C6A4A"/>
    <w:rPr>
      <w:rFonts w:ascii="標楷體" w:eastAsia="標楷體" w:hAnsi="標楷體"/>
      <w:sz w:val="32"/>
      <w:szCs w:val="32"/>
    </w:rPr>
  </w:style>
  <w:style w:type="character" w:styleId="af2">
    <w:name w:val="annotation reference"/>
    <w:basedOn w:val="a0"/>
    <w:uiPriority w:val="99"/>
    <w:semiHidden/>
    <w:unhideWhenUsed/>
    <w:rsid w:val="009A5FB8"/>
    <w:rPr>
      <w:sz w:val="18"/>
      <w:szCs w:val="18"/>
    </w:rPr>
  </w:style>
  <w:style w:type="paragraph" w:styleId="af3">
    <w:name w:val="annotation text"/>
    <w:basedOn w:val="a"/>
    <w:link w:val="af4"/>
    <w:uiPriority w:val="99"/>
    <w:semiHidden/>
    <w:unhideWhenUsed/>
    <w:rsid w:val="009A5FB8"/>
  </w:style>
  <w:style w:type="character" w:customStyle="1" w:styleId="af4">
    <w:name w:val="註解文字 字元"/>
    <w:basedOn w:val="a0"/>
    <w:link w:val="af3"/>
    <w:uiPriority w:val="99"/>
    <w:semiHidden/>
    <w:rsid w:val="009A5FB8"/>
  </w:style>
  <w:style w:type="paragraph" w:styleId="af5">
    <w:name w:val="annotation subject"/>
    <w:basedOn w:val="af3"/>
    <w:next w:val="af3"/>
    <w:link w:val="af6"/>
    <w:uiPriority w:val="99"/>
    <w:semiHidden/>
    <w:unhideWhenUsed/>
    <w:rsid w:val="009A5FB8"/>
    <w:rPr>
      <w:b/>
      <w:bCs/>
    </w:rPr>
  </w:style>
  <w:style w:type="character" w:customStyle="1" w:styleId="af6">
    <w:name w:val="註解主旨 字元"/>
    <w:basedOn w:val="af4"/>
    <w:link w:val="af5"/>
    <w:uiPriority w:val="99"/>
    <w:semiHidden/>
    <w:rsid w:val="009A5FB8"/>
    <w:rPr>
      <w:b/>
      <w:bCs/>
    </w:rPr>
  </w:style>
  <w:style w:type="table" w:styleId="af7">
    <w:name w:val="Table Grid"/>
    <w:basedOn w:val="a1"/>
    <w:uiPriority w:val="59"/>
    <w:rsid w:val="004F5ADE"/>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一)內文"/>
    <w:uiPriority w:val="99"/>
    <w:rsid w:val="004F5ADE"/>
    <w:pPr>
      <w:widowControl w:val="0"/>
      <w:autoSpaceDE w:val="0"/>
      <w:autoSpaceDN w:val="0"/>
      <w:adjustRightInd w:val="0"/>
      <w:spacing w:line="368" w:lineRule="exact"/>
      <w:ind w:left="992" w:firstLine="481"/>
      <w:jc w:val="both"/>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semiHidden/>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Hyperlink"/>
    <w:basedOn w:val="a0"/>
    <w:uiPriority w:val="99"/>
    <w:unhideWhenUsed/>
    <w:rsid w:val="002F10EF"/>
    <w:rPr>
      <w:color w:val="0000FF"/>
      <w:u w:val="single"/>
    </w:rPr>
  </w:style>
  <w:style w:type="paragraph" w:styleId="ab">
    <w:name w:val="footnote text"/>
    <w:basedOn w:val="a"/>
    <w:link w:val="ac"/>
    <w:uiPriority w:val="99"/>
    <w:semiHidden/>
    <w:unhideWhenUsed/>
    <w:rsid w:val="002F10EF"/>
    <w:pPr>
      <w:snapToGrid w:val="0"/>
    </w:pPr>
    <w:rPr>
      <w:sz w:val="20"/>
      <w:szCs w:val="20"/>
    </w:rPr>
  </w:style>
  <w:style w:type="character" w:customStyle="1" w:styleId="ac">
    <w:name w:val="註腳文字 字元"/>
    <w:basedOn w:val="a0"/>
    <w:link w:val="ab"/>
    <w:uiPriority w:val="99"/>
    <w:semiHidden/>
    <w:rsid w:val="002F10EF"/>
    <w:rPr>
      <w:sz w:val="20"/>
      <w:szCs w:val="20"/>
    </w:rPr>
  </w:style>
  <w:style w:type="character" w:styleId="ad">
    <w:name w:val="footnote reference"/>
    <w:basedOn w:val="a0"/>
    <w:uiPriority w:val="99"/>
    <w:semiHidden/>
    <w:unhideWhenUsed/>
    <w:rsid w:val="002F10EF"/>
    <w:rPr>
      <w:vertAlign w:val="superscript"/>
    </w:rPr>
  </w:style>
  <w:style w:type="paragraph" w:styleId="ae">
    <w:name w:val="Note Heading"/>
    <w:basedOn w:val="a"/>
    <w:next w:val="a"/>
    <w:link w:val="af"/>
    <w:uiPriority w:val="99"/>
    <w:unhideWhenUsed/>
    <w:rsid w:val="008C6A4A"/>
    <w:pPr>
      <w:jc w:val="center"/>
    </w:pPr>
    <w:rPr>
      <w:rFonts w:ascii="標楷體" w:eastAsia="標楷體" w:hAnsi="標楷體"/>
      <w:sz w:val="32"/>
      <w:szCs w:val="32"/>
    </w:rPr>
  </w:style>
  <w:style w:type="character" w:customStyle="1" w:styleId="af">
    <w:name w:val="註釋標題 字元"/>
    <w:basedOn w:val="a0"/>
    <w:link w:val="ae"/>
    <w:uiPriority w:val="99"/>
    <w:rsid w:val="008C6A4A"/>
    <w:rPr>
      <w:rFonts w:ascii="標楷體" w:eastAsia="標楷體" w:hAnsi="標楷體"/>
      <w:sz w:val="32"/>
      <w:szCs w:val="32"/>
    </w:rPr>
  </w:style>
  <w:style w:type="paragraph" w:styleId="af0">
    <w:name w:val="Closing"/>
    <w:basedOn w:val="a"/>
    <w:link w:val="af1"/>
    <w:uiPriority w:val="99"/>
    <w:unhideWhenUsed/>
    <w:rsid w:val="008C6A4A"/>
    <w:pPr>
      <w:ind w:leftChars="1800" w:left="100"/>
    </w:pPr>
    <w:rPr>
      <w:rFonts w:ascii="標楷體" w:eastAsia="標楷體" w:hAnsi="標楷體"/>
      <w:sz w:val="32"/>
      <w:szCs w:val="32"/>
    </w:rPr>
  </w:style>
  <w:style w:type="character" w:customStyle="1" w:styleId="af1">
    <w:name w:val="結語 字元"/>
    <w:basedOn w:val="a0"/>
    <w:link w:val="af0"/>
    <w:uiPriority w:val="99"/>
    <w:rsid w:val="008C6A4A"/>
    <w:rPr>
      <w:rFonts w:ascii="標楷體" w:eastAsia="標楷體" w:hAnsi="標楷體"/>
      <w:sz w:val="32"/>
      <w:szCs w:val="32"/>
    </w:rPr>
  </w:style>
  <w:style w:type="character" w:styleId="af2">
    <w:name w:val="annotation reference"/>
    <w:basedOn w:val="a0"/>
    <w:uiPriority w:val="99"/>
    <w:semiHidden/>
    <w:unhideWhenUsed/>
    <w:rsid w:val="009A5FB8"/>
    <w:rPr>
      <w:sz w:val="18"/>
      <w:szCs w:val="18"/>
    </w:rPr>
  </w:style>
  <w:style w:type="paragraph" w:styleId="af3">
    <w:name w:val="annotation text"/>
    <w:basedOn w:val="a"/>
    <w:link w:val="af4"/>
    <w:uiPriority w:val="99"/>
    <w:semiHidden/>
    <w:unhideWhenUsed/>
    <w:rsid w:val="009A5FB8"/>
  </w:style>
  <w:style w:type="character" w:customStyle="1" w:styleId="af4">
    <w:name w:val="註解文字 字元"/>
    <w:basedOn w:val="a0"/>
    <w:link w:val="af3"/>
    <w:uiPriority w:val="99"/>
    <w:semiHidden/>
    <w:rsid w:val="009A5FB8"/>
  </w:style>
  <w:style w:type="paragraph" w:styleId="af5">
    <w:name w:val="annotation subject"/>
    <w:basedOn w:val="af3"/>
    <w:next w:val="af3"/>
    <w:link w:val="af6"/>
    <w:uiPriority w:val="99"/>
    <w:semiHidden/>
    <w:unhideWhenUsed/>
    <w:rsid w:val="009A5FB8"/>
    <w:rPr>
      <w:b/>
      <w:bCs/>
    </w:rPr>
  </w:style>
  <w:style w:type="character" w:customStyle="1" w:styleId="af6">
    <w:name w:val="註解主旨 字元"/>
    <w:basedOn w:val="af4"/>
    <w:link w:val="af5"/>
    <w:uiPriority w:val="99"/>
    <w:semiHidden/>
    <w:rsid w:val="009A5FB8"/>
    <w:rPr>
      <w:b/>
      <w:bCs/>
    </w:rPr>
  </w:style>
</w:styles>
</file>

<file path=word/webSettings.xml><?xml version="1.0" encoding="utf-8"?>
<w:webSettings xmlns:r="http://schemas.openxmlformats.org/officeDocument/2006/relationships" xmlns:w="http://schemas.openxmlformats.org/wordprocessingml/2006/main">
  <w:divs>
    <w:div w:id="218444787">
      <w:bodyDiv w:val="1"/>
      <w:marLeft w:val="0"/>
      <w:marRight w:val="0"/>
      <w:marTop w:val="0"/>
      <w:marBottom w:val="0"/>
      <w:divBdr>
        <w:top w:val="none" w:sz="0" w:space="0" w:color="auto"/>
        <w:left w:val="none" w:sz="0" w:space="0" w:color="auto"/>
        <w:bottom w:val="none" w:sz="0" w:space="0" w:color="auto"/>
        <w:right w:val="none" w:sz="0" w:space="0" w:color="auto"/>
      </w:divBdr>
      <w:divsChild>
        <w:div w:id="2082949152">
          <w:marLeft w:val="547"/>
          <w:marRight w:val="0"/>
          <w:marTop w:val="0"/>
          <w:marBottom w:val="0"/>
          <w:divBdr>
            <w:top w:val="none" w:sz="0" w:space="0" w:color="auto"/>
            <w:left w:val="none" w:sz="0" w:space="0" w:color="auto"/>
            <w:bottom w:val="none" w:sz="0" w:space="0" w:color="auto"/>
            <w:right w:val="none" w:sz="0" w:space="0" w:color="auto"/>
          </w:divBdr>
        </w:div>
      </w:divsChild>
    </w:div>
    <w:div w:id="241791753">
      <w:bodyDiv w:val="1"/>
      <w:marLeft w:val="0"/>
      <w:marRight w:val="0"/>
      <w:marTop w:val="0"/>
      <w:marBottom w:val="0"/>
      <w:divBdr>
        <w:top w:val="none" w:sz="0" w:space="0" w:color="auto"/>
        <w:left w:val="none" w:sz="0" w:space="0" w:color="auto"/>
        <w:bottom w:val="none" w:sz="0" w:space="0" w:color="auto"/>
        <w:right w:val="none" w:sz="0" w:space="0" w:color="auto"/>
      </w:divBdr>
      <w:divsChild>
        <w:div w:id="1978144016">
          <w:marLeft w:val="547"/>
          <w:marRight w:val="0"/>
          <w:marTop w:val="0"/>
          <w:marBottom w:val="0"/>
          <w:divBdr>
            <w:top w:val="none" w:sz="0" w:space="0" w:color="auto"/>
            <w:left w:val="none" w:sz="0" w:space="0" w:color="auto"/>
            <w:bottom w:val="none" w:sz="0" w:space="0" w:color="auto"/>
            <w:right w:val="none" w:sz="0" w:space="0" w:color="auto"/>
          </w:divBdr>
        </w:div>
      </w:divsChild>
    </w:div>
    <w:div w:id="292907516">
      <w:bodyDiv w:val="1"/>
      <w:marLeft w:val="0"/>
      <w:marRight w:val="0"/>
      <w:marTop w:val="0"/>
      <w:marBottom w:val="0"/>
      <w:divBdr>
        <w:top w:val="none" w:sz="0" w:space="0" w:color="auto"/>
        <w:left w:val="none" w:sz="0" w:space="0" w:color="auto"/>
        <w:bottom w:val="none" w:sz="0" w:space="0" w:color="auto"/>
        <w:right w:val="none" w:sz="0" w:space="0" w:color="auto"/>
      </w:divBdr>
      <w:divsChild>
        <w:div w:id="79834480">
          <w:marLeft w:val="547"/>
          <w:marRight w:val="0"/>
          <w:marTop w:val="0"/>
          <w:marBottom w:val="0"/>
          <w:divBdr>
            <w:top w:val="none" w:sz="0" w:space="0" w:color="auto"/>
            <w:left w:val="none" w:sz="0" w:space="0" w:color="auto"/>
            <w:bottom w:val="none" w:sz="0" w:space="0" w:color="auto"/>
            <w:right w:val="none" w:sz="0" w:space="0" w:color="auto"/>
          </w:divBdr>
        </w:div>
        <w:div w:id="994336997">
          <w:marLeft w:val="547"/>
          <w:marRight w:val="0"/>
          <w:marTop w:val="0"/>
          <w:marBottom w:val="0"/>
          <w:divBdr>
            <w:top w:val="none" w:sz="0" w:space="0" w:color="auto"/>
            <w:left w:val="none" w:sz="0" w:space="0" w:color="auto"/>
            <w:bottom w:val="none" w:sz="0" w:space="0" w:color="auto"/>
            <w:right w:val="none" w:sz="0" w:space="0" w:color="auto"/>
          </w:divBdr>
        </w:div>
        <w:div w:id="1663317016">
          <w:marLeft w:val="547"/>
          <w:marRight w:val="0"/>
          <w:marTop w:val="0"/>
          <w:marBottom w:val="0"/>
          <w:divBdr>
            <w:top w:val="none" w:sz="0" w:space="0" w:color="auto"/>
            <w:left w:val="none" w:sz="0" w:space="0" w:color="auto"/>
            <w:bottom w:val="none" w:sz="0" w:space="0" w:color="auto"/>
            <w:right w:val="none" w:sz="0" w:space="0" w:color="auto"/>
          </w:divBdr>
        </w:div>
      </w:divsChild>
    </w:div>
    <w:div w:id="680006748">
      <w:bodyDiv w:val="1"/>
      <w:marLeft w:val="0"/>
      <w:marRight w:val="0"/>
      <w:marTop w:val="0"/>
      <w:marBottom w:val="0"/>
      <w:divBdr>
        <w:top w:val="none" w:sz="0" w:space="0" w:color="auto"/>
        <w:left w:val="none" w:sz="0" w:space="0" w:color="auto"/>
        <w:bottom w:val="none" w:sz="0" w:space="0" w:color="auto"/>
        <w:right w:val="none" w:sz="0" w:space="0" w:color="auto"/>
      </w:divBdr>
    </w:div>
    <w:div w:id="2101020452">
      <w:bodyDiv w:val="1"/>
      <w:marLeft w:val="0"/>
      <w:marRight w:val="0"/>
      <w:marTop w:val="0"/>
      <w:marBottom w:val="0"/>
      <w:divBdr>
        <w:top w:val="none" w:sz="0" w:space="0" w:color="auto"/>
        <w:left w:val="none" w:sz="0" w:space="0" w:color="auto"/>
        <w:bottom w:val="none" w:sz="0" w:space="0" w:color="auto"/>
        <w:right w:val="none" w:sz="0" w:space="0" w:color="auto"/>
      </w:divBdr>
      <w:divsChild>
        <w:div w:id="1399788213">
          <w:marLeft w:val="547"/>
          <w:marRight w:val="0"/>
          <w:marTop w:val="0"/>
          <w:marBottom w:val="0"/>
          <w:divBdr>
            <w:top w:val="none" w:sz="0" w:space="0" w:color="auto"/>
            <w:left w:val="none" w:sz="0" w:space="0" w:color="auto"/>
            <w:bottom w:val="none" w:sz="0" w:space="0" w:color="auto"/>
            <w:right w:val="none" w:sz="0" w:space="0" w:color="auto"/>
          </w:divBdr>
        </w:div>
        <w:div w:id="664480850">
          <w:marLeft w:val="547"/>
          <w:marRight w:val="0"/>
          <w:marTop w:val="0"/>
          <w:marBottom w:val="0"/>
          <w:divBdr>
            <w:top w:val="none" w:sz="0" w:space="0" w:color="auto"/>
            <w:left w:val="none" w:sz="0" w:space="0" w:color="auto"/>
            <w:bottom w:val="none" w:sz="0" w:space="0" w:color="auto"/>
            <w:right w:val="none" w:sz="0" w:space="0" w:color="auto"/>
          </w:divBdr>
        </w:div>
        <w:div w:id="1833795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681A-2FE6-4710-B630-6A262C68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722</Words>
  <Characters>4120</Characters>
  <Application>Microsoft Office Word</Application>
  <DocSecurity>0</DocSecurity>
  <Lines>34</Lines>
  <Paragraphs>9</Paragraphs>
  <ScaleCrop>false</ScaleCrop>
  <Company>KPMG</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24</cp:revision>
  <cp:lastPrinted>2014-06-05T02:46:00Z</cp:lastPrinted>
  <dcterms:created xsi:type="dcterms:W3CDTF">2014-07-10T04:11:00Z</dcterms:created>
  <dcterms:modified xsi:type="dcterms:W3CDTF">2014-07-17T03:38:00Z</dcterms:modified>
</cp:coreProperties>
</file>